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Export and Cross-Border Transfer Procedure</w:t>
      </w:r>
    </w:p>
    <w:p>
      <w:pPr>
        <w:pStyle w:val="Heading2"/>
      </w:pPr>
      <w:r>
        <w:t>1. Purpose</w:t>
      </w:r>
    </w:p>
    <w:p>
      <w:r>
        <w:t>This procedure governs approval chain and transfer risk assessment before any export outside the Kingdom at National Digital Services Authority.</w:t>
      </w:r>
    </w:p>
    <w:p>
      <w:r>
        <w:t>Procedure reference NDSA-IT-309, revision 1.0, effective 2024-07-22.</w:t>
      </w:r>
    </w:p>
    <w:p>
      <w:pPr>
        <w:pStyle w:val="Heading2"/>
      </w:pPr>
      <w:r>
        <w:t>2. Regulatory basis</w:t>
      </w:r>
    </w:p>
    <w:p>
      <w:r>
        <w:t>This procedure operationalises the AI Ethics Principles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24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24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Export and Cross-Border Transfer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