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Incident Response Procedure</w:t>
      </w:r>
    </w:p>
    <w:p>
      <w:pPr>
        <w:pStyle w:val="Heading2"/>
      </w:pPr>
      <w:r>
        <w:t>1. Purpose</w:t>
      </w:r>
    </w:p>
    <w:p>
      <w:r>
        <w:t>This procedure governs severity matrix, escalation clock, and personal-data breach notification path at National Digital Services Authority.</w:t>
      </w:r>
    </w:p>
    <w:p>
      <w:r>
        <w:t>Procedure reference NDSA-IT-304, revision 2.0, effective 2024-04-08.</w:t>
      </w:r>
    </w:p>
    <w:p>
      <w:pPr>
        <w:pStyle w:val="Heading2"/>
      </w:pPr>
      <w:r>
        <w:t>2. Regulatory basis</w:t>
      </w:r>
    </w:p>
    <w:p>
      <w:r>
        <w:t>This procedure operationalises the Open Data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48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48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Incident Response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