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Approved LLM Gateway Usage Procedure</w:t>
      </w:r>
    </w:p>
    <w:p>
      <w:pPr>
        <w:pStyle w:val="Heading2"/>
      </w:pPr>
      <w:r>
        <w:t>1. Purpose</w:t>
      </w:r>
    </w:p>
    <w:p>
      <w:r>
        <w:t>This procedure governs which data classes may be sent to which model tier, logging, and prohibited inputs at National Digital Services Authority.</w:t>
      </w:r>
    </w:p>
    <w:p>
      <w:r>
        <w:t>Procedure reference NDSA-IT-312, revision 2.0, effective 2024-09-23.</w:t>
      </w:r>
    </w:p>
    <w:p>
      <w:pPr>
        <w:pStyle w:val="Heading2"/>
      </w:pPr>
      <w:r>
        <w:t>2. Regulatory basis</w:t>
      </w:r>
    </w:p>
    <w:p>
      <w:r>
        <w:t>This procedure operationalises the Personal Data Anonymization Guideline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4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4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LLM Gateway Usage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