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Logging and Monitoring Standard</w:t>
      </w:r>
    </w:p>
    <w:p>
      <w:pPr>
        <w:pStyle w:val="Heading2"/>
      </w:pPr>
      <w:r>
        <w:t>1. Purpose</w:t>
      </w:r>
    </w:p>
    <w:p>
      <w:r>
        <w:t>This procedure governs log classes, retention, and access to audit trails at National Digital Services Authority.</w:t>
      </w:r>
    </w:p>
    <w:p>
      <w:r>
        <w:t>Procedure reference NDSA-IT-317, revision 1.0, effective 2025-01-06.</w:t>
      </w:r>
    </w:p>
    <w:p>
      <w:pPr>
        <w:pStyle w:val="Heading2"/>
      </w:pPr>
      <w:r>
        <w:t>2. Regulatory basis</w:t>
      </w:r>
    </w:p>
    <w:p>
      <w:r>
        <w:t>This procedure operationalises the Personal Data Anonymization Guideline published by SDAIA.</w:t>
      </w:r>
    </w:p>
    <w:p>
      <w:r>
        <w:t>Where a personal-data breach is involved, notification obligations under the Personal Data Protection Law and its Implementing Regulation apply in addition to the internal steps below.</w:t>
      </w:r>
    </w:p>
    <w:p>
      <w:pPr>
        <w:pStyle w:val="Heading2"/>
      </w:pPr>
      <w:r>
        <w:t>3. Steps</w:t>
      </w:r>
    </w:p>
    <w:p>
      <w:pPr>
        <w:pStyle w:val="ListBullet"/>
      </w:pPr>
      <w:r>
        <w:t>Intake: the request or event is logged in the service management system with a unique reference.</w:t>
      </w:r>
    </w:p>
    <w:p>
      <w:pPr>
        <w:pStyle w:val="ListBullet"/>
      </w:pPr>
      <w:r>
        <w:t>Triage: assessed within 72 hours by the duty engineer against the severity matrix in section 5.</w:t>
      </w:r>
    </w:p>
    <w:p>
      <w:pPr>
        <w:pStyle w:val="ListBullet"/>
      </w:pPr>
      <w:r>
        <w:t>Approval: changes affecting classified data require Data Governance sign-off before execution.</w:t>
      </w:r>
    </w:p>
    <w:p>
      <w:pPr>
        <w:pStyle w:val="ListBullet"/>
      </w:pPr>
      <w:r>
        <w:t>Execution: performed by an authorised operator; a second operator verifies.</w:t>
      </w:r>
    </w:p>
    <w:p>
      <w:pPr>
        <w:pStyle w:val="ListBullet"/>
      </w:pPr>
      <w:r>
        <w:t>Closure: evidence attached to the record; the record is retained per the Logging and Monitoring Standard.</w:t>
      </w:r>
    </w:p>
    <w:p>
      <w:pPr>
        <w:pStyle w:val="Heading2"/>
      </w:pPr>
      <w:r>
        <w:t>4. Prohibited actions</w:t>
      </w:r>
    </w:p>
    <w:p>
      <w:pPr>
        <w:pStyle w:val="ListBullet"/>
      </w:pPr>
      <w:r>
        <w:t>Sending data classified Secret or above to any external service, including public generative AI tools.</w:t>
      </w:r>
    </w:p>
    <w:p>
      <w:pPr>
        <w:pStyle w:val="ListBullet"/>
      </w:pPr>
      <w:r>
        <w:t>Exporting personal data outside the Kingdom without a completed transfer risk assessment and documented approval.</w:t>
      </w:r>
    </w:p>
    <w:p>
      <w:pPr>
        <w:pStyle w:val="ListBullet"/>
      </w:pPr>
      <w:r>
        <w:t>Using shared or generic accounts for any action in this procedure.</w:t>
      </w:r>
    </w:p>
    <w:p>
      <w:pPr>
        <w:pStyle w:val="Heading2"/>
      </w:pPr>
      <w:r>
        <w:t>5. Severity and escalation</w:t>
      </w:r>
    </w:p>
    <w:p>
      <w:r>
        <w:t>Severity 1 incidents escalate to the CIO immediately and to the Data Protection Officer within 72 hours where personal data is implicated.</w:t>
      </w:r>
    </w:p>
    <w:p>
      <w:r>
        <w:t>Severity 2 and 3 follow the standard service-level targets.</w:t>
      </w:r>
    </w:p>
    <w:p>
      <w:pPr>
        <w:pStyle w:val="Heading2"/>
      </w:pPr>
      <w:r>
        <w:t>6. Records</w:t>
      </w:r>
    </w:p>
    <w:p>
      <w:r>
        <w:t>All records produced under this procedure are classified INTERNAL unless they contain personal data, in which case they are classified RESTRICTED.</w:t>
      </w:r>
    </w:p>
    <w:p>
      <w:r>
        <w:t>Retention is 3 years from closure.</w:t>
      </w:r>
    </w:p>
    <w:p>
      <w:r>
        <w:rPr>
          <w:sz w:val="15"/>
        </w:rPr>
        <w:t>FICTIONAL TRAINING DOCUMENT - SDAIA Academy SDA-AIE-214. Not a real instrument.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Logging and Monitoring Standard</dc:title>
  <dc:subject/>
  <dc:creator>National Digital Services Authority</dc:creator>
  <cp:keywords/>
  <dc:description>X-Dalil-Synthetic: SDA-AIE-214 training corpus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