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Logging and Monitoring Standard</w:t>
      </w:r>
    </w:p>
    <w:p>
      <w:pPr>
        <w:pStyle w:val="Heading2"/>
      </w:pPr>
      <w:r>
        <w:t>1. Purpose</w:t>
      </w:r>
    </w:p>
    <w:p>
      <w:r>
        <w:t>This procedure governs log classes, retention, and access to audit trails at National Digital Services Authority.</w:t>
      </w:r>
    </w:p>
    <w:p>
      <w:r>
        <w:t>Procedure reference NDSA-IT-318, revision 2.0, effective 2025-01-27.</w:t>
      </w:r>
    </w:p>
    <w:p>
      <w:pPr>
        <w:pStyle w:val="Heading2"/>
      </w:pPr>
      <w:r>
        <w:t>2. Regulatory basis</w:t>
      </w:r>
    </w:p>
    <w:p>
      <w:r>
        <w:t>This procedure operationalises the Generative AI Guidelines for Government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4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4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Logging and Monitoring Standard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