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color w:val="273370"/>
        </w:rPr>
        <w:t xml:space="preserve">Draft Report for Review — Exercise 3.2: Spot the Errors</w:t>
      </w:r>
    </w:p>
    <w:p>
      <w:pPr>
        <w:shd w:fill="F1F1F2" w:val="clear"/>
        <w:spacing w:after="200" w:before="120"/>
      </w:pPr>
      <w:r>
        <w:rPr>
          <w:rFonts w:ascii="Calibri" w:cs="Calibri" w:eastAsia="Calibri" w:hAnsi="Calibri"/>
          <w:i/>
          <w:iCs/>
          <w:color w:val="444444"/>
          <w:sz w:val="20"/>
          <w:szCs w:val="20"/>
        </w:rPr>
        <w:t xml:space="preserve">All names, organisations, figures and events in this document are fictional and created for training purposes for the SDAIA Academy program “Generative AI for Productivity”. The draft below was produced by an AI tool from the H1 training data and is about to be sent to senior management. It contains a number of planted problems: numbers that do not add up, unsupported claims, a fabricated reference, and other issues. Find as many as you can — with your AI tool's help — and correct them. Do NOT trust the draft; verify every figure against the figures given in the data summary box below.</w:t>
      </w:r>
    </w:p>
    <w:p>
      <w:pPr>
        <w:pStyle w:val="Heading2"/>
        <w:spacing w:after="120" w:before="220"/>
      </w:pPr>
      <w:r>
        <w:rPr>
          <w:b/>
          <w:bCs/>
          <w:color w:val="273370"/>
        </w:rPr>
        <w:t xml:space="preserve">Verified data summary (trusted source – from the HR system)</w:t>
      </w:r>
    </w:p>
    <w:p>
      <w:pPr>
        <w:spacing w:after="140"/>
        <w:jc w:val="left"/>
      </w:pPr>
      <w:r>
        <w:rPr>
          <w:rFonts w:ascii="Calibri" w:cs="Calibri" w:eastAsia="Calibri" w:hAnsi="Calibri"/>
          <w:b w:val="false"/>
          <w:bCs w:val="false"/>
          <w:sz w:val="22"/>
          <w:szCs w:val="22"/>
        </w:rPr>
        <w:t xml:space="preserve">• Employees trained, Jan–Jun 2026: 412 (target: 450)</w:t>
      </w:r>
    </w:p>
    <w:p>
      <w:pPr>
        <w:spacing w:after="140"/>
        <w:jc w:val="left"/>
      </w:pPr>
      <w:r>
        <w:rPr>
          <w:rFonts w:ascii="Calibri" w:cs="Calibri" w:eastAsia="Calibri" w:hAnsi="Calibri"/>
          <w:b w:val="false"/>
          <w:bCs w:val="false"/>
          <w:sz w:val="22"/>
          <w:szCs w:val="22"/>
        </w:rPr>
        <w:t xml:space="preserve">• Programs delivered: 6  |  Completion rate: 78%  |  Average satisfaction: 4.2 / 5</w:t>
      </w:r>
    </w:p>
    <w:p>
      <w:pPr>
        <w:spacing w:after="140"/>
        <w:jc w:val="left"/>
      </w:pPr>
      <w:r>
        <w:rPr>
          <w:rFonts w:ascii="Calibri" w:cs="Calibri" w:eastAsia="Calibri" w:hAnsi="Calibri"/>
          <w:b w:val="false"/>
          <w:bCs w:val="false"/>
          <w:sz w:val="22"/>
          <w:szCs w:val="22"/>
        </w:rPr>
        <w:t xml:space="preserve">• Average assessment score (completers): 81%  |  Withdrawals: 31  |  Budget used: SAR 1.24M of SAR 1.6M</w:t>
      </w:r>
    </w:p>
    <w:p>
      <w:pPr>
        <w:pStyle w:val="Heading2"/>
        <w:spacing w:after="120" w:before="220"/>
      </w:pPr>
      <w:r>
        <w:rPr>
          <w:b/>
          <w:bCs/>
          <w:color w:val="273370"/>
        </w:rPr>
        <w:t xml:space="preserve">DRAFT – Half-Year Training Performance Report (AI-generated – unreviewed)</w:t>
      </w:r>
    </w:p>
    <w:p>
      <w:pPr>
        <w:spacing w:after="140"/>
        <w:jc w:val="left"/>
      </w:pPr>
      <w:r>
        <w:rPr>
          <w:rFonts w:ascii="Calibri" w:cs="Calibri" w:eastAsia="Calibri" w:hAnsi="Calibri"/>
          <w:sz w:val="22"/>
          <w:szCs w:val="22"/>
        </w:rPr>
        <w:t xml:space="preserve">The first half of 2026 was an unqualified success for the training department. A total of 452 employees were trained across our 6 flagship programs, comfortably exceeding the annual target of 450 and confirming our position as the leading training function in the Kingdom.</w:t>
      </w:r>
    </w:p>
    <w:p>
      <w:pPr>
        <w:spacing w:after="140"/>
        <w:jc w:val="left"/>
      </w:pPr>
      <w:r>
        <w:rPr>
          <w:rFonts w:ascii="Calibri" w:cs="Calibri" w:eastAsia="Calibri" w:hAnsi="Calibri"/>
          <w:sz w:val="22"/>
          <w:szCs w:val="22"/>
        </w:rPr>
        <w:t xml:space="preserve">The completion rate reached an impressive 87%, while average satisfaction climbed to 4.2 out of 5 — meaning that effectively every single participant was fully satisfied with every aspect of delivery. Average assessment scores stood at 81%, which independent research by the Global Institute for Workforce Excellence (2025 Annual Benchmark, p. 44) confirms is 22% above the international public-sector average.</w:t>
      </w:r>
    </w:p>
    <w:p>
      <w:pPr>
        <w:spacing w:after="140"/>
        <w:jc w:val="left"/>
      </w:pPr>
      <w:r>
        <w:rPr>
          <w:rFonts w:ascii="Calibri" w:cs="Calibri" w:eastAsia="Calibri" w:hAnsi="Calibri"/>
          <w:sz w:val="22"/>
          <w:szCs w:val="22"/>
        </w:rPr>
        <w:t xml:space="preserve">Only 13 participants withdrew during the period, the lowest figure ever recorded in the GCC region. Budget utilisation was carefully managed at SAR 1.24M, representing 65% of the annual allocation of SAR 1.6M.</w:t>
      </w:r>
    </w:p>
    <w:p>
      <w:pPr>
        <w:spacing w:after="140"/>
        <w:jc w:val="left"/>
      </w:pPr>
      <w:r>
        <w:rPr>
          <w:rFonts w:ascii="Calibri" w:cs="Calibri" w:eastAsia="Calibri" w:hAnsi="Calibri"/>
          <w:sz w:val="22"/>
          <w:szCs w:val="22"/>
        </w:rPr>
        <w:t xml:space="preserve">Female participation was strong, although it is well known that administrative staff engage less seriously with digital-skills training, which explains most quality variations across departments.</w:t>
      </w:r>
    </w:p>
    <w:p>
      <w:pPr>
        <w:spacing w:after="140"/>
        <w:jc w:val="left"/>
      </w:pPr>
      <w:r>
        <w:rPr>
          <w:rFonts w:ascii="Calibri" w:cs="Calibri" w:eastAsia="Calibri" w:hAnsi="Calibri"/>
          <w:sz w:val="22"/>
          <w:szCs w:val="22"/>
        </w:rPr>
        <w:t xml:space="preserve">Looking ahead, the department will launch the Generative AI for Productivity program in Q3 2025, and we are confident it will achieve a 100% completion rate. No risks are foreseen for the remainder of the year.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2026-08-26T09:42:19.385Z</dcterms:created>
  <dcterms:modified xsi:type="dcterms:W3CDTF">2026-08-26T09:42:19.385Z</dcterms:modified>
</cp:coreProperties>
</file>

<file path=docProps/custom.xml><?xml version="1.0" encoding="utf-8"?>
<Properties xmlns="http://schemas.openxmlformats.org/officeDocument/2006/custom-properties" xmlns:vt="http://schemas.openxmlformats.org/officeDocument/2006/docPropsVTypes"/>
</file>