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b/>
          <w:bCs/>
          <w:color w:val="273370"/>
        </w:rPr>
        <w:t xml:space="preserve">Vendor Proposals — Exercise 2.4: Compare &amp; Recommend</w:t>
      </w:r>
    </w:p>
    <w:p>
      <w:pPr>
        <w:shd w:fill="F1F1F2" w:val="clear"/>
        <w:spacing w:after="200" w:before="120"/>
      </w:pPr>
      <w:r>
        <w:rPr>
          <w:rFonts w:ascii="Calibri" w:cs="Calibri" w:eastAsia="Calibri" w:hAnsi="Calibri"/>
          <w:i/>
          <w:iCs/>
          <w:color w:val="444444"/>
          <w:sz w:val="20"/>
          <w:szCs w:val="20"/>
        </w:rPr>
        <w:t xml:space="preserve">All names, organisations, figures and events in this document are fictional and created for training purposes for the SDAIA Academy program “Generative AI for Productivity”. Your organisation requested proposals for a two-year e-learning platform subscription for 1,500 employees. Two proposals were received. Use your AI tool to compare them and draft a recommendation memo.</w:t>
      </w:r>
    </w:p>
    <w:p>
      <w:pPr>
        <w:pStyle w:val="Heading2"/>
        <w:spacing w:after="120" w:before="220"/>
      </w:pPr>
      <w:r>
        <w:rPr>
          <w:b/>
          <w:bCs/>
          <w:color w:val="273370"/>
        </w:rPr>
        <w:t xml:space="preserve">Proposal A – Tadarrub Tech (Riyadh)</w:t>
      </w:r>
    </w:p>
    <w:p>
      <w:pPr>
        <w:spacing w:after="140"/>
        <w:jc w:val="left"/>
      </w:pPr>
      <w:r>
        <w:rPr>
          <w:rFonts w:ascii="Calibri" w:cs="Calibri" w:eastAsia="Calibri" w:hAnsi="Calibri"/>
          <w:sz w:val="22"/>
          <w:szCs w:val="22"/>
        </w:rPr>
        <w:t xml:space="preserve">Tadarrub Tech proposes its “Tadarrub Enterprise” learning platform for 1,500 named users over 24 months.</w:t>
      </w:r>
    </w:p>
    <w:p>
      <w:pPr>
        <w:spacing w:after="140"/>
        <w:jc w:val="left"/>
      </w:pPr>
      <w:r>
        <w:rPr>
          <w:rFonts w:ascii="Calibri" w:cs="Calibri" w:eastAsia="Calibri" w:hAnsi="Calibri"/>
          <w:sz w:val="22"/>
          <w:szCs w:val="22"/>
        </w:rPr>
        <w:t xml:space="preserve">Total price: SAR 588,000 (SAR 294,000 per year), payable annually in advance. Price includes platform subscription, standard content library (600 courses, of which 220 are in Arabic), and up to 40 hours of configuration support.</w:t>
      </w:r>
    </w:p>
    <w:p>
      <w:pPr>
        <w:spacing w:after="140"/>
        <w:jc w:val="left"/>
      </w:pPr>
      <w:r>
        <w:rPr>
          <w:rFonts w:ascii="Calibri" w:cs="Calibri" w:eastAsia="Calibri" w:hAnsi="Calibri"/>
          <w:sz w:val="22"/>
          <w:szCs w:val="22"/>
        </w:rPr>
        <w:t xml:space="preserve">Hosting: all data hosted in Tadarrub's cloud environment located in Saudi Arabia (Riyadh region), aligned with national data-residency expectations. The platform is available in full Arabic and English interfaces.</w:t>
      </w:r>
    </w:p>
    <w:p>
      <w:pPr>
        <w:spacing w:after="140"/>
        <w:jc w:val="left"/>
      </w:pPr>
      <w:r>
        <w:rPr>
          <w:rFonts w:ascii="Calibri" w:cs="Calibri" w:eastAsia="Calibri" w:hAnsi="Calibri"/>
          <w:sz w:val="22"/>
          <w:szCs w:val="22"/>
        </w:rPr>
        <w:t xml:space="preserve">Implementation: 10 weeks from contract signature, including integration with the client HR system (one-way nightly sync). Single sign-on included.</w:t>
      </w:r>
    </w:p>
    <w:p>
      <w:pPr>
        <w:spacing w:after="140"/>
        <w:jc w:val="left"/>
      </w:pPr>
      <w:r>
        <w:rPr>
          <w:rFonts w:ascii="Calibri" w:cs="Calibri" w:eastAsia="Calibri" w:hAnsi="Calibri"/>
          <w:sz w:val="22"/>
          <w:szCs w:val="22"/>
        </w:rPr>
        <w:t xml:space="preserve">Support: business-hours support (Sun–Thu, 8:00–17:00) with a 8-hour response commitment; a named account manager; quarterly service reviews.</w:t>
      </w:r>
    </w:p>
    <w:p>
      <w:pPr>
        <w:spacing w:after="140"/>
        <w:jc w:val="left"/>
      </w:pPr>
      <w:r>
        <w:rPr>
          <w:rFonts w:ascii="Calibri" w:cs="Calibri" w:eastAsia="Calibri" w:hAnsi="Calibri"/>
          <w:sz w:val="22"/>
          <w:szCs w:val="22"/>
        </w:rPr>
        <w:t xml:space="preserve">Reporting: standard dashboards plus monthly usage reports. Custom reports cost extra at SAR 1,200 per report template.</w:t>
      </w:r>
    </w:p>
    <w:p>
      <w:pPr>
        <w:spacing w:after="140"/>
        <w:jc w:val="left"/>
      </w:pPr>
      <w:r>
        <w:rPr>
          <w:rFonts w:ascii="Calibri" w:cs="Calibri" w:eastAsia="Calibri" w:hAnsi="Calibri"/>
          <w:sz w:val="22"/>
          <w:szCs w:val="22"/>
        </w:rPr>
        <w:t xml:space="preserve">Contract terms: 24-month commitment, no early-exit clause; prices fixed for the term. Additional users beyond 1,500 at SAR 190 per user per year.</w:t>
      </w:r>
    </w:p>
    <w:p>
      <w:r>
        <w:br w:type="page"/>
      </w:r>
    </w:p>
    <w:p>
      <w:pPr>
        <w:pStyle w:val="Heading2"/>
        <w:spacing w:after="120" w:before="220"/>
      </w:pPr>
      <w:r>
        <w:rPr>
          <w:b/>
          <w:bCs/>
          <w:color w:val="273370"/>
        </w:rPr>
        <w:t xml:space="preserve">Proposal B – LearnGulf Solutions (Dubai)</w:t>
      </w:r>
    </w:p>
    <w:p>
      <w:pPr>
        <w:spacing w:after="140"/>
        <w:jc w:val="left"/>
      </w:pPr>
      <w:r>
        <w:rPr>
          <w:rFonts w:ascii="Calibri" w:cs="Calibri" w:eastAsia="Calibri" w:hAnsi="Calibri"/>
          <w:sz w:val="22"/>
          <w:szCs w:val="22"/>
        </w:rPr>
        <w:t xml:space="preserve">LearnGulf Solutions proposes its “LearnGulf One” platform for up to 1,600 active users over 24 months.</w:t>
      </w:r>
    </w:p>
    <w:p>
      <w:pPr>
        <w:spacing w:after="140"/>
        <w:jc w:val="left"/>
      </w:pPr>
      <w:r>
        <w:rPr>
          <w:rFonts w:ascii="Calibri" w:cs="Calibri" w:eastAsia="Calibri" w:hAnsi="Calibri"/>
          <w:sz w:val="22"/>
          <w:szCs w:val="22"/>
        </w:rPr>
        <w:t xml:space="preserve">Total price: SAR 512,000 for two years if paid fully in advance, or SAR 276,000 per year if paid annually. Price includes the platform and a content library of 1,400 courses (170 in Arabic). AI-powered course recommendations included.</w:t>
      </w:r>
    </w:p>
    <w:p>
      <w:pPr>
        <w:spacing w:after="140"/>
        <w:jc w:val="left"/>
      </w:pPr>
      <w:r>
        <w:rPr>
          <w:rFonts w:ascii="Calibri" w:cs="Calibri" w:eastAsia="Calibri" w:hAnsi="Calibri"/>
          <w:sz w:val="22"/>
          <w:szCs w:val="22"/>
        </w:rPr>
        <w:t xml:space="preserve">Hosting: primary hosting in LearnGulf's UAE data centre, with an option to host in a Saudi cloud region for an additional SAR 60,000 over the contract term. Interface is English-first; Arabic interface is described as “in advanced beta, full release expected within 12 months”.</w:t>
      </w:r>
    </w:p>
    <w:p>
      <w:pPr>
        <w:spacing w:after="140"/>
        <w:jc w:val="left"/>
      </w:pPr>
      <w:r>
        <w:rPr>
          <w:rFonts w:ascii="Calibri" w:cs="Calibri" w:eastAsia="Calibri" w:hAnsi="Calibri"/>
          <w:sz w:val="22"/>
          <w:szCs w:val="22"/>
        </w:rPr>
        <w:t xml:space="preserve">Implementation: 6 weeks from signature. HR-system integration is available via API but scoped separately after signature (estimated SAR 25,000–45,000). Single sign-on included.</w:t>
      </w:r>
    </w:p>
    <w:p>
      <w:pPr>
        <w:spacing w:after="140"/>
        <w:jc w:val="left"/>
      </w:pPr>
      <w:r>
        <w:rPr>
          <w:rFonts w:ascii="Calibri" w:cs="Calibri" w:eastAsia="Calibri" w:hAnsi="Calibri"/>
          <w:sz w:val="22"/>
          <w:szCs w:val="22"/>
        </w:rPr>
        <w:t xml:space="preserve">Support: 24/7 support portal with a 4-hour response commitment for critical issues; account reviews every six months.</w:t>
      </w:r>
    </w:p>
    <w:p>
      <w:pPr>
        <w:spacing w:after="140"/>
        <w:jc w:val="left"/>
      </w:pPr>
      <w:r>
        <w:rPr>
          <w:rFonts w:ascii="Calibri" w:cs="Calibri" w:eastAsia="Calibri" w:hAnsi="Calibri"/>
          <w:sz w:val="22"/>
          <w:szCs w:val="22"/>
        </w:rPr>
        <w:t xml:space="preserve">Reporting: advanced analytics suite with unlimited custom reports included; exportable to Excel and Power BI.</w:t>
      </w:r>
    </w:p>
    <w:p>
      <w:pPr>
        <w:spacing w:after="140"/>
        <w:jc w:val="left"/>
      </w:pPr>
      <w:r>
        <w:rPr>
          <w:rFonts w:ascii="Calibri" w:cs="Calibri" w:eastAsia="Calibri" w:hAnsi="Calibri"/>
          <w:sz w:val="22"/>
          <w:szCs w:val="22"/>
        </w:rPr>
        <w:t xml:space="preserve">Contract terms: 24-month commitment with an exit option at month 12 (60 days notice, 15% early-exit fee on remaining value). Additional users beyond 1,600 at SAR 160 per user per year.</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2026-08-26T09:42:19.372Z</dcterms:created>
  <dcterms:modified xsi:type="dcterms:W3CDTF">2026-08-26T09:42:19.372Z</dcterms:modified>
</cp:coreProperties>
</file>

<file path=docProps/custom.xml><?xml version="1.0" encoding="utf-8"?>
<Properties xmlns="http://schemas.openxmlformats.org/officeDocument/2006/custom-properties" xmlns:vt="http://schemas.openxmlformats.org/officeDocument/2006/docPropsVTypes"/>
</file>