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73370"/>
          <w:sz w:val="40"/>
          <w:szCs w:val="40"/>
        </w:rPr>
        <w:t xml:space="preserve">Generative AI for Productivity — Answer Keys &amp; Model Outputs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TRAINER ONLY — do not distribute to participants</w:t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§1. Day 1 quiz (slides 27–28)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7840"/>
      </w:tblGrid>
      <w:tr>
        <w:trPr>
          <w:tblHeader/>
        </w:trPr>
        <w:tc>
          <w:tcPr>
            <w:tcW w:type="dxa" w:w="7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1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78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Generative models predict plausible continuations from training patterns; they do not retrieve verified facts — the root cause of both fluency and hallucination.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Context (audience, purpose, key facts) is the most frequently skipped block and the one with the greatest impact on output quality.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Unsourced statistics must be independently verified. Asking the AI to confirm (D) uses the unreliable source to audit itself.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Iteration — adding context, specifying tone/format, requesting alternatives — is the standard professional workflow.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Fluent, confident text can be factually wrong regardless of prompt quality or tool tier; bias also persists in modern models.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§2. Day 2 quiz (slides 50–51)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7840"/>
      </w:tblGrid>
      <w:tr>
        <w:trPr>
          <w:tblHeader/>
        </w:trPr>
        <w:tc>
          <w:tcPr>
            <w:tcW w:type="dxa" w:w="7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1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78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Outline-first keeps the human in control of structure and lets each section be drafted against real data.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‘Use only the data provided — do not invent numbers’ prevents the most damaging failure mode in report work.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converts silent gaps and guesses into visible questions.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Criteria must be the decision-maker's; otherwise the AI optimises for what is easiest to compare.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Restricting to the provided text prevents contamination with outside (possibly hallucinated) content.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§3. Final assessment (workbook p. 11)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7840"/>
      </w:tblGrid>
      <w:tr>
        <w:trPr>
          <w:tblHeader/>
        </w:trPr>
        <w:tc>
          <w:tcPr>
            <w:tcW w:type="dxa" w:w="7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1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78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Prediction from patterns — the program's anchor concept.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summary without audience, purpose and format cannot be fit for use.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Outline → sections with real data → polish → human verification.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marks the ambiguous so nobody guesses.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cited institute is the fabricated reference from Activity 3.2 — locate the original or delete the claim.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Only fictional/anonymised, non-sensitive content belongs in free public tools (traffic-light GREEN).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Enterprise deployment changes where data flows, not the classification and legal rules governing its processing.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National ID numbers are personal data; entering them into an unapproved tool is a breach risk under data-protection rules (PDPL) and internal policy.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Independent verification against original sources is the only reliable defence; self-confirmation is not.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78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human author of record is always accountable — ‘the AI wrote it’ is never a defence.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Scoring: 7/10 pass. Common near-misses are Q5 and Q7 — review both with the whole group regardless of scores.</w:t>
      </w:r>
    </w:p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§4. Activity 1.2 — model prompt rewrites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Weak prompt</w:t>
            </w:r>
          </w:p>
        </w:tc>
        <w:tc>
          <w:tcPr>
            <w:tcW w:type="dxa" w:w="70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 rewrite (one good version — participants' will differ)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“Write something for the newsletter”</w:t>
            </w:r>
          </w:p>
        </w:tc>
        <w:tc>
          <w:tcPr>
            <w:tcW w:type="dxa" w:w="7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 as an internal communications writer [R]. Write a 150-word newsletter item [T/F] announcing that our department completed the records-digitisation project two weeks early; audience is all staff; purpose is to recognise the team (led by Noura) and remind everyone the paper archive closes on 1 October [C]. Upbeat but professional; end with a contact for questions [X]. Then an Arabic version [F].</w:t>
            </w:r>
          </w:p>
        </w:tc>
      </w:tr>
      <w:tr>
        <w:trPr>
          <w:tblHeader w:val="false"/>
        </w:trPr>
        <w:tc>
          <w:tcPr>
            <w:tcW w:type="dxa" w:w="2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“Summarize this”</w:t>
            </w:r>
          </w:p>
        </w:tc>
        <w:tc>
          <w:tcPr>
            <w:tcW w:type="dxa" w:w="70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Summarise the attached circular for front-desk staff who must apply it from Sunday [C]: 5 bullets covering what changes, what stays the same, and the one deadline to remember [F]. Use only the text provided; plain language, no jargon [X]. Text: […]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“Make a plan for the event”</w:t>
            </w:r>
          </w:p>
        </w:tc>
        <w:tc>
          <w:tcPr>
            <w:tcW w:type="dxa" w:w="7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 as an experienced event coordinator [R]. Draft a plan [T] for a 100-person department annual gathering on 20 November, budget SAR 25,000, in our headquarters auditorium [C]. Ask me your 5 most important questions first, one at a time [X]; then produce a phased task table with owners and dates, plus a risk list [F].</w:t>
            </w:r>
          </w:p>
        </w:tc>
      </w:tr>
      <w:tr>
        <w:trPr>
          <w:tblHeader w:val="false"/>
        </w:trPr>
        <w:tc>
          <w:tcPr>
            <w:tcW w:type="dxa" w:w="2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“Fix this email”</w:t>
            </w:r>
          </w:p>
        </w:tc>
        <w:tc>
          <w:tcPr>
            <w:tcW w:type="dxa" w:w="70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Review my draft below [T]. Keep all facts; make the tone more diplomatic — the recipient is a director we need on our side [C]; cut to under 120 words; keep the request for a decision by Thursday explicit [X]; suggest a clearer subject line [F]. Draft: […]</w:t>
            </w:r>
          </w:p>
        </w:tc>
      </w:tr>
    </w:tbl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§5. Activity 2.1 — model triage &amp; replies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Defensible priority order (variations acceptable with reasoning)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1) Email 5 — AC failure: operational, time-critical (43°C day, 42 workstations); delegate immediately. 2) Email 2 — board pack: hard deadline, must confirm today. 3) Email 1 — supplier: 60 days overdue + legal threat; needs a substantive same-day reply. 4) Email 3 — parking: emotionally urgent for the sender, operationally lower; same-day acknowledgement, resolution can follow. 5) Email 4 — announcement wording: explicitly ‘before Thursday’.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Model reply — Email 1 (supplier)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“Dear Mr Al-Harbi, Thank you for your message, and please accept our sincere apologies for the delayed response regarding invoice 4471. I have personally reviewed the matter today: the invoice has completed verification and is in final payment approval. We expect the transfer to be executed by Thursday, 3 September, and I will confirm to you personally once it is done. We value our partnership with Gulf Supplies and regret the inconvenience this delay has caused. Kind regards, [Name], Head of Administrative Services” — note: acknowledges, commits to a date, no admission of process fault or liability.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Model reply — Email 3 (parking)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“Dear Fahad, Thank you for writing, and I am sorry the change reached you the way it did — you should have heard it from us directly, and I apologise for that. The reallocation was part of accommodating the new department, but your nine years of service and your mobility need are exactly the factors the allocation should reflect. I have asked the facilities team to review available spots near Gate 2 and will come back to you with an option by Wednesday. [Name]” — note: validates the feeling, explains without dismissing, one concrete commitment, no guaranteed outcome.</w:t>
      </w:r>
    </w:p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§6. Activity 2.2 — verified reference figures (training_registrations.csv)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54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 value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 registrations (Jan–Jun 2026)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Status breakdown</w:t>
            </w:r>
          </w:p>
        </w:tc>
        <w:tc>
          <w:tcPr>
            <w:tcW w:type="dxa" w:w="5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Completed 40 • In Progress 13 • Withdrawn 10 • Registered 9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Completion rate (completed / all records)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55.6% — accept 40/72 stated any equivalent way; watch for tools that silently compute completed/(completed+withdrawn) = 80%</w:t>
            </w:r>
          </w:p>
        </w:tc>
      </w:tr>
      <w:tr>
        <w:trPr>
          <w:tblHeader w:val="false"/>
        </w:trPr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Average assessment score (completers)</w:t>
            </w:r>
          </w:p>
        </w:tc>
        <w:tc>
          <w:tcPr>
            <w:tcW w:type="dxa" w:w="5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79.8%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Average satisfaction (completers)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4.22 / 5</w:t>
            </w:r>
          </w:p>
        </w:tc>
      </w:tr>
      <w:tr>
        <w:trPr>
          <w:tblHeader w:val="false"/>
        </w:trPr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Largest program</w:t>
            </w:r>
          </w:p>
        </w:tc>
        <w:tc>
          <w:tcPr>
            <w:tcW w:type="dxa" w:w="5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Digital Government Services (19), then Advanced Excel for Analysts (17), Generative AI for Productivity (14)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Registrations by city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Riyadh 41 • Tabuk 13 • Jeddah 10 • Dammam 4 • Abha 4</w:t>
            </w:r>
          </w:p>
        </w:tc>
      </w:tr>
      <w:tr>
        <w:trPr>
          <w:tblHeader w:val="false"/>
        </w:trPr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Peak month</w:t>
            </w:r>
          </w:p>
        </w:tc>
        <w:tc>
          <w:tcPr>
            <w:tcW w:type="dxa" w:w="54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February 2026 (22 registrations); low: March and April (7 each)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Facilitation gold: the completion-rate denominator ambiguity is genuine — different tools (and participants) will reasonably compute 55.6% or 80%. Use it to teach that definitions must be stated, not assumed.</w:t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§7. Activity 2.3 — the six genuine ambiguities in the meeting notes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740"/>
      </w:tblGrid>
      <w:tr>
        <w:trPr>
          <w:tblHeader/>
        </w:trPr>
        <w:tc>
          <w:tcPr>
            <w:tcW w:type="dxa" w:w="7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Ambiguity</w:t>
            </w:r>
          </w:p>
        </w:tc>
        <w:tc>
          <w:tcPr>
            <w:tcW w:type="dxa" w:w="47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 [CHECK] handling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Remaining budget ‘approx 310k’ with ‘90k already committed??’</w:t>
            </w:r>
          </w:p>
        </w:tc>
        <w:tc>
          <w:tcPr>
            <w:tcW w:type="dxa" w:w="4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Turki to confirm exact remaining and committed amounts.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E-signature licence ‘already covers it – CHECK’</w:t>
            </w:r>
          </w:p>
        </w:tc>
        <w:tc>
          <w:tcPr>
            <w:tcW w:type="dxa" w:w="47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Bandar to confirm licence coverage before the cost debate is settled.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Yousef's item on the nomination system (bad line)</w:t>
            </w:r>
          </w:p>
        </w:tc>
        <w:tc>
          <w:tcPr>
            <w:tcW w:type="dxa" w:w="4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Follow up with Yousef separately; content unknown — must not be paraphrased into the minutes as a decision.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GenAI pilot dates ‘depends on room availability’ + broken projector</w:t>
            </w:r>
          </w:p>
        </w:tc>
        <w:tc>
          <w:tcPr>
            <w:tcW w:type="dxa" w:w="47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Maha's proposed dates conditional on Bandar's Room 5 AV confirmation.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Retender decision</w:t>
            </w:r>
          </w:p>
        </w:tc>
        <w:tc>
          <w:tcPr>
            <w:tcW w:type="dxa" w:w="4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Decision IS made (retender; incumbent may bid) — but evaluation criteria and timeline are unstated: [CHECK].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Certificate backlog ‘some from MAY’</w:t>
            </w:r>
          </w:p>
        </w:tc>
        <w:tc>
          <w:tcPr>
            <w:tcW w:type="dxa" w:w="47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[CHECK] Exact number and scope of delayed certificates; owner for the e-signature proposal unassigned.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unattributed ‘me’ (the note-taker) is a seventh, subtler catch — attendance cannot be completed without knowing who wrote the notes.</w:t>
      </w:r>
    </w:p>
    <w:p>
      <w:r>
        <w:br w:type="page"/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§8. Activity 2.4 — worked vendor comparison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0"/>
        <w:gridCol w:w="3770"/>
      </w:tblGrid>
      <w:tr>
        <w:trPr>
          <w:tblHeader/>
        </w:trPr>
        <w:tc>
          <w:tcPr>
            <w:tcW w:type="dxa" w:w="21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77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Tadarrub Tech (A)</w:t>
            </w:r>
          </w:p>
        </w:tc>
        <w:tc>
          <w:tcPr>
            <w:tcW w:type="dxa" w:w="377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LearnGulf (B)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 2-year price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SAR 588,000 fixed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SAR 512,000 prepaid or 552,000 annual — but see hidden costs</w:t>
            </w:r>
          </w:p>
        </w:tc>
      </w:tr>
      <w:tr>
        <w:trPr>
          <w:tblHeader w:val="false"/>
        </w:trPr>
        <w:tc>
          <w:tcPr>
            <w:tcW w:type="dxa" w:w="2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True comparable cost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588,000 (integration &amp; SSO included)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512–552,000 + Saudi hosting 60,000 + integration 25–45,000 ≈ 597–657,000 for a like-for-like scope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Saudi Arabia by default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UAE by default; KSA optional at extra cost</w:t>
            </w:r>
          </w:p>
        </w:tc>
      </w:tr>
      <w:tr>
        <w:trPr>
          <w:tblHeader w:val="false"/>
        </w:trPr>
        <w:tc>
          <w:tcPr>
            <w:tcW w:type="dxa" w:w="2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Arabic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Full interface; 220 Arabic courses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‘Advanced beta’ interface; 170 Arabic courses of a larger library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weeks, integration included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 weeks, but integration scoped after signature</w:t>
            </w:r>
          </w:p>
        </w:tc>
      </w:tr>
      <w:tr>
        <w:trPr>
          <w:tblHeader w:val="false"/>
        </w:trPr>
        <w:tc>
          <w:tcPr>
            <w:tcW w:type="dxa" w:w="2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Business hours, 8-hour response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24/7 portal, 4-hour critical response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Reporting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Standard + paid custom reports (SAR 1,200 each)</w:t>
            </w:r>
          </w:p>
        </w:tc>
        <w:tc>
          <w:tcPr>
            <w:tcW w:type="dxa" w:w="3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Unlimited custom reports + Power BI export included</w:t>
            </w:r>
          </w:p>
        </w:tc>
      </w:tr>
      <w:tr>
        <w:trPr>
          <w:tblHeader w:val="false"/>
        </w:trPr>
        <w:tc>
          <w:tcPr>
            <w:tcW w:type="dxa" w:w="21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Flexibility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exit clause; extra users SAR 190/user/yr</w:t>
            </w:r>
          </w:p>
        </w:tc>
        <w:tc>
          <w:tcPr>
            <w:tcW w:type="dxa" w:w="377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Month-12 exit (15% fee); extra users SAR 160/user/yr; 1,600 included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Hidden differences a busy reader misses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B's headline price excludes what A includes: like-for-like, B is likely more expensive, not cheaper.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‘Arabic in advanced beta’ is a promise, not a capability — material for a 1,500-user Saudi deployment.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A: named users (1,500 hard cap); B: active users (up to 1,600) — different licensing models.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B's integration is scoped after signature — an open-ended cost and timeline risk.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has no exit clause at all — a risk in A that B-leaning groups should cite.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recommendations are defensible: A on residency/Arabic/all-in certainty; B on analytics/support/flexibility IF Saudi hosting and integration are contractually fixed pre-signature. Grade the reasoning, not the choice.</w:t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§9. Activity 3.2 — the nine planted problems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900"/>
        <w:gridCol w:w="3140"/>
      </w:tblGrid>
      <w:tr>
        <w:trPr>
          <w:tblHeader/>
        </w:trPr>
        <w:tc>
          <w:tcPr>
            <w:tcW w:type="dxa" w:w="6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in the draft</w:t>
            </w:r>
          </w:p>
        </w:tc>
        <w:tc>
          <w:tcPr>
            <w:tcW w:type="dxa" w:w="19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Correction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“452 employees trained”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31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412 (per data box)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“Comfortably exceeding the annual target of 450”</w:t>
            </w:r>
          </w:p>
        </w:tc>
        <w:tc>
          <w:tcPr>
            <w:tcW w:type="dxa" w:w="1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Logic</w:t>
            </w:r>
          </w:p>
        </w:tc>
        <w:tc>
          <w:tcPr>
            <w:tcW w:type="dxa" w:w="31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450 is the target and H1 delivered 412 — below target, not above; also ‘annual’ vs H1 framing is confused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“Completion rate 87%”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31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78%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“4.2/5 — effectively every participant fully satisfied”</w:t>
            </w:r>
          </w:p>
        </w:tc>
        <w:tc>
          <w:tcPr>
            <w:tcW w:type="dxa" w:w="1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Overclaim</w:t>
            </w:r>
          </w:p>
        </w:tc>
        <w:tc>
          <w:tcPr>
            <w:tcW w:type="dxa" w:w="31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4.2 is strong but does not mean universal full satisfaction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“Global Institute for Workforce Excellence (2025 Benchmark, p. 44)… 22% above average”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Fabricated reference</w:t>
            </w:r>
          </w:p>
        </w:tc>
        <w:tc>
          <w:tcPr>
            <w:tcW w:type="dxa" w:w="31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such source in the trusted data; locate or delete — delete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“Only 13 withdrew … lowest ever in the GCC”</w:t>
            </w:r>
          </w:p>
        </w:tc>
        <w:tc>
          <w:tcPr>
            <w:tcW w:type="dxa" w:w="1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Number + unverifiable claim</w:t>
            </w:r>
          </w:p>
        </w:tc>
        <w:tc>
          <w:tcPr>
            <w:tcW w:type="dxa" w:w="31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31 withdrawals; the GCC superlative is unverifiable — remove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“SAR 1.24M = 65% of allocation”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Arithmetic</w:t>
            </w:r>
          </w:p>
        </w:tc>
        <w:tc>
          <w:tcPr>
            <w:tcW w:type="dxa" w:w="31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1.24 / 1.6 = 77.5%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“Administrative staff engage less seriously…”</w:t>
            </w:r>
          </w:p>
        </w:tc>
        <w:tc>
          <w:tcPr>
            <w:tcW w:type="dxa" w:w="19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Bias</w:t>
            </w:r>
          </w:p>
        </w:tc>
        <w:tc>
          <w:tcPr>
            <w:tcW w:type="dxa" w:w="31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Unsupported stereotype about a staff group — remove; report only evidenced variations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“Launch in Q3 2025 … 100% completion … no risks foreseen”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Date + overconfidence</w:t>
            </w:r>
          </w:p>
        </w:tc>
        <w:tc>
          <w:tcPr>
            <w:tcW w:type="dxa" w:w="31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Q3 2026; a 100% guarantee and ‘no risks’ are indefensible — state realistic targets and known risks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Typical results: pairs find 5–7 manually; the AI audit adds 1–2 (usually the arithmetic) and misses the bias sentence — the debrief's key moment.</w:t>
      </w:r>
    </w:p>
    <w:p>
      <w:pPr>
        <w:pStyle w:val="Heading1"/>
        <w:spacing w:after="140" w:before="220"/>
      </w:pPr>
      <w:r>
        <w:rPr>
          <w:b/>
          <w:bCs/>
          <w:color w:val="273370"/>
        </w:rPr>
        <w:t xml:space="preserve">§10. Activity 3.3 — scenario verdicts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540"/>
      </w:tblGrid>
      <w:tr>
        <w:trPr>
          <w:tblHeader/>
        </w:trPr>
        <w:tc>
          <w:tcPr>
            <w:tcW w:type="dxa" w:w="6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7540"/>
            <w:shd w:fill="27337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Reasoning &amp; conditions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</w:t>
            </w:r>
          </w:p>
        </w:tc>
        <w:tc>
          <w:tcPr>
            <w:tcW w:type="dxa" w:w="7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Citizen name + ID = personal data into an unapproved public tool: PDPL exposure and policy breach. Acceptable only fully anonymised in an approved tool.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GREEN / AMBER</w:t>
            </w:r>
          </w:p>
        </w:tc>
        <w:tc>
          <w:tcPr>
            <w:tcW w:type="dxa" w:w="7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Approved enterprise tool + internal data is the intended use — provided the document's classification permits it (amber if classification is unclear).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 as framed</w:t>
            </w:r>
          </w:p>
        </w:tc>
        <w:tc>
          <w:tcPr>
            <w:tcW w:type="dxa" w:w="7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 must not rank or rate people — an evaluative decision affecting individuals. Could become AMBER only as a drafting aid applied to the manager's own written judgements, with the human decision and accountability fully retained.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GREEN</w:t>
            </w:r>
          </w:p>
        </w:tc>
        <w:tc>
          <w:tcPr>
            <w:tcW w:type="dxa" w:w="7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Published text, explanation use, verified against the official source — model practice.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</w:t>
            </w:r>
          </w:p>
        </w:tc>
        <w:tc>
          <w:tcPr>
            <w:tcW w:type="dxa" w:w="7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Bidders' confidential pricing in a personal account: confidentiality breach + procurement-integrity risk; ‘to save time’ aggravates, not excuses.</w:t>
            </w:r>
          </w:p>
        </w:tc>
      </w:tr>
      <w:tr>
        <w:trPr>
          <w:tblHeader w:val="false"/>
        </w:trPr>
        <w:tc>
          <w:tcPr>
            <w:tcW w:type="dxa" w:w="6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AMBER</w:t>
            </w:r>
          </w:p>
        </w:tc>
        <w:tc>
          <w:tcPr>
            <w:tcW w:type="dxa" w:w="7540"/>
            <w:shd w:fill="F1F1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Verification and approval are exactly right; the open question is disclosure of AI assistance — governed by the organisation's transparency policy. Use it to discuss when disclosure matters.</w:t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2026-08-26T12:48:29.625Z</dcterms:created>
  <dcterms:modified xsi:type="dcterms:W3CDTF">2026-08-26T12:48:29.625Z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