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Epistemic Type-Constraint Model: A Framework for Distinguishing Qur'anic Text, Human Tafsir, Empirical Data, and Scientific Models</w:t>
      </w:r>
    </w:p>
    <w:p>
      <w:r>
        <w:t>Abstract. This paper argues that many alleged conflicts between science and the Qur'an are misclassified because the Qur'anic text, human tafsir, empirical data, and scientific models are treated as if they occupy the same epistemic level. The Epistemic Type-Constraint Model (ETC) proposes a minimal diagnostic framework built from typed objects, bridge relations, constraints, and restricted revision. The model separates meaningful conflicts, typically between scientific models and interpretive claims, from category mistakes that arise when interpretive layers are collapsed into the text itself. The paper is intentionally limited: it does not claim that all tensions disappear, that science cannot challenge religious commitments, or that the framework resolves substantive theological disputes.</w:t>
      </w:r>
    </w:p>
    <w:p>
      <w:r>
        <w:t>Keywords: Qur'an and science; scientific exegesis; tafsir ilmī; epistemic types; belief revision; constraint satisfaction; philosophy of science</w:t>
      </w:r>
    </w:p>
    <w:p>
      <w:pPr>
        <w:pStyle w:val="Heading2"/>
      </w:pPr>
      <w:r>
        <w:t>1. Introduction</w:t>
      </w:r>
    </w:p>
    <w:p>
      <w:r>
        <w:t>Disputes framed as contradictions between science and the Qur'an are often more rhetorically forceful than they are analytically precise. A scientific model may be opposed to a verse reading, a theological claim may be treated as if it were identical with the text, and a data-processing judgment may be presented as if it were revelation. The result is a debate that sounds decisive while remaining epistemically unstable (Naguib, 2019; Leonelli, 2019).</w:t>
      </w:r>
    </w:p>
    <w:p>
      <w:r>
        <w:t>The existing literature already points in this direction, but in separate registers. Qur'anic studies and tafsir scholarship have shown that scientific exegesis (tafsīr ʿilmī) must remain constrained by language, context, and interpretive tradition (Saeed, 2006; Saleh, 2004; Shah &amp; Abdel Haleem, 2020). Philosophy of science has, for its part, repeatedly shown that data, data models, and explanatory models are not interchangeable (Leonelli, 2019; Antoniou, 2021). What is still missing is a framework that brings these insights together without turning either side into a caricature.</w:t>
      </w:r>
    </w:p>
    <w:p>
      <w:r>
        <w:t>This paper proposes such a framework in the form of the Epistemic Type-Constraint Model (ETC). ETC does not ask whether science and the Qur'an are simply compatible. It asks which object is actually in conflict when a dispute is raised, and whether the relevant claim belongs to the level of text, interpretation, data, or model. The model is built on a simple premise: many disputes are not resolved by choosing a side too quickly, but by locating the disagreement at the correct epistemic level (Long et al., 2022).</w:t>
      </w:r>
    </w:p>
    <w:p>
      <w:r>
        <w:t>To make that premise usable, ETC distinguishes Q, Ti(Q), D, and Mj(D), and treats the bridge from text to interpretation as something that must be shown rather than assumed. The paper's contribution is deliberately modest but substantive: a diagnostic vocabulary, a minimal formalism, and a worked example on human origins. The aim is not to dissolve theological tension, but to show why some conflicts are genuine while others are category mistakes in disguise (Hallaq, 1997; Long et al., 2022).</w:t>
      </w:r>
    </w:p>
    <w:p>
      <w:r>
        <w:t>The remainder of the paper proceeds as follows. Section 2 reviews the conceptual background and the distinction between text, interpretation, data, and model. Section 3 introduces the formal framework. Section 4 applies ETC to common ancestry and common design. Section 5 draws the main implications, and Section 6 states the limits of the approach.</w:t>
      </w:r>
    </w:p>
    <w:p>
      <w:pPr>
        <w:pStyle w:val="Heading2"/>
      </w:pPr>
      <w:r>
        <w:t>2. Literature Review and Conceptual Background</w:t>
      </w:r>
    </w:p>
    <w:p>
      <w:r>
        <w:t>The paper distinguishes four epistemic objects. Q denotes the Qur'anic text as canonically transmitted Arabic text. Ti(Q) denotes a human interpretation of that text. D denotes empirical data. Mj(D) denotes a scientific model or model-family constructed to explain the data. This distinction matters because a public claim such as “science contradicts the Qur'an” is often incomplete. It may actually mean that a scientific model conflicts with a particular interpretation of a verse, not with the text as such.</w:t>
      </w:r>
    </w:p>
    <w:p>
      <w:r>
        <w:t>That distinction also matters on the tafsir side. Q is fixed as transmitted text, but Ti(Q) is revisable in principle. The draft therefore treats most science-linked readings as zanni al-dalāla or ijtihādī unless a strong hermeneutic case is shown. The safer rule is not to infer certainty of interpretation from certainty of transmission. In that sense, the paper prefers the wording “textually fixed, interpretively revisable” over a looser hedge such as qath'i-limited.</w:t>
      </w:r>
    </w:p>
    <w:p>
      <w:r>
        <w:t>On the science side, ETC insists that data and model are not identical. Scientific practice routinely separates observation, processed evidence, and explanatory structure. A model may be strong without being final, and data may be robust without dictating a single theory. ETC uses this point to block a familiar move in public debate: treating “science says X” as if it meant more than “a current model suggests X under certain assumptions.”</w:t>
      </w:r>
    </w:p>
    <w:p>
      <w:r>
        <w:t>The paper therefore occupies a middle position. It does not defend every concordist reading. It does not deny scientific pressure on interpretation. It only argues that classification must come before reconciliation.</w:t>
      </w:r>
    </w:p>
    <w:p>
      <w:pPr>
        <w:pStyle w:val="Heading2"/>
      </w:pPr>
      <w:r>
        <w:t>3. Method / Formal Framework</w:t>
      </w:r>
    </w:p>
    <w:p>
      <w:r>
        <w:t>ETC uses a minimal formal language. The aim is not to turn tafsir into mathematics, but to make epistemic levels explicit.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