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04F6" w14:textId="0603AC2E" w:rsidR="005E4E0E" w:rsidRPr="0047350E" w:rsidRDefault="0047350E" w:rsidP="0047350E">
      <w:pPr>
        <w:pStyle w:val="00ArticleTitle"/>
        <w:jc w:val="center"/>
        <w:rPr>
          <w:lang w:val="en-ID"/>
        </w:rPr>
      </w:pPr>
      <w:r w:rsidRPr="0047350E">
        <w:rPr>
          <w:lang w:val="en-ID"/>
        </w:rPr>
        <w:t>DISTANCE IN DOCTRINAL SPACE: COSINE SIMILARITY AS AN EPISTEMIC TOOL IN PUBLIC THEOLOGICAL DISCOURSE</w:t>
      </w:r>
    </w:p>
    <w:p w14:paraId="2E9CF0BF" w14:textId="77777777" w:rsidR="00F04536" w:rsidRPr="003114EF" w:rsidRDefault="00F04536" w:rsidP="006157C3">
      <w:pPr>
        <w:pStyle w:val="03Abstract-Title"/>
      </w:pPr>
      <w:r w:rsidRPr="003114EF">
        <w:t>Abstract</w:t>
      </w:r>
    </w:p>
    <w:p w14:paraId="798AD4DB" w14:textId="77777777" w:rsidR="00237B95" w:rsidRDefault="0047350E" w:rsidP="007F4628">
      <w:pPr>
        <w:pStyle w:val="04abstracttext"/>
      </w:pPr>
      <w:r>
        <w:t>Public religious discourse in Indonesia often takes place without a common reference point that can be examined intersubjectively, resulting in a debate that goes around without a productive resolution. This article proposes a cosine similarity to the binary vector of religious claims as an epistemic scaffold — an epistemic scaffold that makes the premises of theological debate explicit, open, and verifiable. Using the viral case of preacher Mama Ghufron (2024) as a case study, a dataset of 57 binary variables was constructed from verified media reports and official responses from religious institutions. The results of the calculation showed a cosine similarity of 0.5923 between the profile of the subject's claim and the Mainstream Islamic Position. This article argues that these values are not theological verdicts, but rather instruments of transparency that allow public discussion to start from the same facts. Implications are discussed from three angles: philosophy of science (formalization of the non-scientific domain), applied mathematics (the extension of cosine similarity beyond the domain of text computing), and Islamic epistemology (</w:t>
      </w:r>
      <w:proofErr w:type="spellStart"/>
      <w:r>
        <w:t>naql</w:t>
      </w:r>
      <w:proofErr w:type="spellEnd"/>
      <w:r>
        <w:t xml:space="preserve"> and '</w:t>
      </w:r>
      <w:proofErr w:type="spellStart"/>
      <w:r>
        <w:t>aql</w:t>
      </w:r>
      <w:proofErr w:type="spellEnd"/>
      <w:r>
        <w:t xml:space="preserve"> as the basis for evaluating claims).</w:t>
      </w:r>
    </w:p>
    <w:p w14:paraId="37CD04A2" w14:textId="679C7D96" w:rsidR="00237B95" w:rsidRPr="007F4628" w:rsidRDefault="00237B95" w:rsidP="007F4628">
      <w:pPr>
        <w:pStyle w:val="04abstracttext"/>
      </w:pPr>
      <w:r w:rsidRPr="007F4628">
        <w:t>(</w:t>
      </w:r>
      <w:proofErr w:type="spellStart"/>
      <w:r w:rsidRPr="007F4628">
        <w:t>Wacana</w:t>
      </w:r>
      <w:proofErr w:type="spellEnd"/>
      <w:r w:rsidRPr="007F4628">
        <w:t xml:space="preserve"> </w:t>
      </w:r>
      <w:proofErr w:type="spellStart"/>
      <w:r w:rsidRPr="007F4628">
        <w:t>keagamaan</w:t>
      </w:r>
      <w:proofErr w:type="spellEnd"/>
      <w:r w:rsidRPr="007F4628">
        <w:t xml:space="preserve"> </w:t>
      </w:r>
      <w:proofErr w:type="spellStart"/>
      <w:r w:rsidRPr="007F4628">
        <w:t>publik</w:t>
      </w:r>
      <w:proofErr w:type="spellEnd"/>
      <w:r w:rsidRPr="007F4628">
        <w:t xml:space="preserve"> di Indonesia </w:t>
      </w:r>
      <w:proofErr w:type="spellStart"/>
      <w:r w:rsidRPr="007F4628">
        <w:t>kerap</w:t>
      </w:r>
      <w:proofErr w:type="spellEnd"/>
      <w:r w:rsidRPr="007F4628">
        <w:t xml:space="preserve"> </w:t>
      </w:r>
      <w:proofErr w:type="spellStart"/>
      <w:r w:rsidRPr="007F4628">
        <w:t>berlangsung</w:t>
      </w:r>
      <w:proofErr w:type="spellEnd"/>
      <w:r w:rsidRPr="007F4628">
        <w:t xml:space="preserve"> </w:t>
      </w:r>
      <w:proofErr w:type="spellStart"/>
      <w:r w:rsidRPr="007F4628">
        <w:t>tanpa</w:t>
      </w:r>
      <w:proofErr w:type="spellEnd"/>
      <w:r w:rsidRPr="007F4628">
        <w:t xml:space="preserve"> </w:t>
      </w:r>
      <w:proofErr w:type="spellStart"/>
      <w:r w:rsidRPr="007F4628">
        <w:t>titik</w:t>
      </w:r>
      <w:proofErr w:type="spellEnd"/>
      <w:r w:rsidRPr="007F4628">
        <w:t xml:space="preserve"> </w:t>
      </w:r>
      <w:proofErr w:type="spellStart"/>
      <w:r w:rsidRPr="007F4628">
        <w:t>referensi</w:t>
      </w:r>
      <w:proofErr w:type="spellEnd"/>
      <w:r w:rsidRPr="007F4628">
        <w:t xml:space="preserve"> </w:t>
      </w:r>
      <w:proofErr w:type="spellStart"/>
      <w:r w:rsidRPr="007F4628">
        <w:t>bersama</w:t>
      </w:r>
      <w:proofErr w:type="spellEnd"/>
      <w:r w:rsidRPr="007F4628">
        <w:t xml:space="preserve"> yang </w:t>
      </w:r>
      <w:proofErr w:type="spellStart"/>
      <w:r w:rsidRPr="007F4628">
        <w:t>dapat</w:t>
      </w:r>
      <w:proofErr w:type="spellEnd"/>
      <w:r w:rsidRPr="007F4628">
        <w:t xml:space="preserve"> </w:t>
      </w:r>
      <w:proofErr w:type="spellStart"/>
      <w:r w:rsidRPr="007F4628">
        <w:t>diperiksa</w:t>
      </w:r>
      <w:proofErr w:type="spellEnd"/>
      <w:r w:rsidRPr="007F4628">
        <w:t xml:space="preserve"> </w:t>
      </w:r>
      <w:proofErr w:type="spellStart"/>
      <w:r w:rsidRPr="007F4628">
        <w:t>secara</w:t>
      </w:r>
      <w:proofErr w:type="spellEnd"/>
      <w:r w:rsidRPr="007F4628">
        <w:t xml:space="preserve"> </w:t>
      </w:r>
      <w:proofErr w:type="spellStart"/>
      <w:r w:rsidRPr="007F4628">
        <w:t>intersubjektif</w:t>
      </w:r>
      <w:proofErr w:type="spellEnd"/>
      <w:r w:rsidRPr="007F4628">
        <w:t xml:space="preserve">, </w:t>
      </w:r>
      <w:proofErr w:type="spellStart"/>
      <w:r w:rsidRPr="007F4628">
        <w:t>sehingga</w:t>
      </w:r>
      <w:proofErr w:type="spellEnd"/>
      <w:r w:rsidRPr="007F4628">
        <w:t xml:space="preserve"> </w:t>
      </w:r>
      <w:proofErr w:type="spellStart"/>
      <w:r w:rsidRPr="007F4628">
        <w:t>menghasilkan</w:t>
      </w:r>
      <w:proofErr w:type="spellEnd"/>
      <w:r w:rsidRPr="007F4628">
        <w:t xml:space="preserve"> </w:t>
      </w:r>
      <w:proofErr w:type="spellStart"/>
      <w:r w:rsidRPr="007F4628">
        <w:t>perdebatan</w:t>
      </w:r>
      <w:proofErr w:type="spellEnd"/>
      <w:r w:rsidRPr="007F4628">
        <w:t xml:space="preserve"> yang </w:t>
      </w:r>
      <w:proofErr w:type="spellStart"/>
      <w:r w:rsidRPr="007F4628">
        <w:t>berputar-putar</w:t>
      </w:r>
      <w:proofErr w:type="spellEnd"/>
      <w:r w:rsidRPr="007F4628">
        <w:t xml:space="preserve"> </w:t>
      </w:r>
      <w:proofErr w:type="spellStart"/>
      <w:r w:rsidRPr="007F4628">
        <w:t>tanpa</w:t>
      </w:r>
      <w:proofErr w:type="spellEnd"/>
      <w:r w:rsidRPr="007F4628">
        <w:t xml:space="preserve"> </w:t>
      </w:r>
      <w:proofErr w:type="spellStart"/>
      <w:r w:rsidRPr="007F4628">
        <w:t>resolusi</w:t>
      </w:r>
      <w:proofErr w:type="spellEnd"/>
      <w:r w:rsidRPr="007F4628">
        <w:t xml:space="preserve"> yang </w:t>
      </w:r>
      <w:proofErr w:type="spellStart"/>
      <w:r w:rsidRPr="007F4628">
        <w:t>produktif</w:t>
      </w:r>
      <w:proofErr w:type="spellEnd"/>
      <w:r w:rsidRPr="007F4628">
        <w:t xml:space="preserve">. Artikel </w:t>
      </w:r>
      <w:proofErr w:type="spellStart"/>
      <w:r w:rsidRPr="007F4628">
        <w:t>ini</w:t>
      </w:r>
      <w:proofErr w:type="spellEnd"/>
      <w:r w:rsidRPr="007F4628">
        <w:t xml:space="preserve"> </w:t>
      </w:r>
      <w:proofErr w:type="spellStart"/>
      <w:r w:rsidRPr="007F4628">
        <w:t>mengajukan</w:t>
      </w:r>
      <w:proofErr w:type="spellEnd"/>
      <w:r w:rsidRPr="007F4628">
        <w:t xml:space="preserve"> cosine similarity </w:t>
      </w:r>
      <w:proofErr w:type="spellStart"/>
      <w:r w:rsidRPr="007F4628">
        <w:t>atas</w:t>
      </w:r>
      <w:proofErr w:type="spellEnd"/>
      <w:r w:rsidRPr="007F4628">
        <w:t xml:space="preserve"> </w:t>
      </w:r>
      <w:proofErr w:type="spellStart"/>
      <w:r w:rsidRPr="007F4628">
        <w:t>vektor</w:t>
      </w:r>
      <w:proofErr w:type="spellEnd"/>
      <w:r w:rsidRPr="007F4628">
        <w:t xml:space="preserve"> biner </w:t>
      </w:r>
      <w:proofErr w:type="spellStart"/>
      <w:r w:rsidRPr="007F4628">
        <w:t>klaim</w:t>
      </w:r>
      <w:proofErr w:type="spellEnd"/>
      <w:r w:rsidRPr="007F4628">
        <w:t xml:space="preserve"> </w:t>
      </w:r>
      <w:proofErr w:type="spellStart"/>
      <w:r w:rsidRPr="007F4628">
        <w:t>keagamaan</w:t>
      </w:r>
      <w:proofErr w:type="spellEnd"/>
      <w:r w:rsidRPr="007F4628">
        <w:t xml:space="preserve"> </w:t>
      </w:r>
      <w:proofErr w:type="spellStart"/>
      <w:r w:rsidRPr="007F4628">
        <w:t>sebagai</w:t>
      </w:r>
      <w:proofErr w:type="spellEnd"/>
      <w:r w:rsidRPr="007F4628">
        <w:t xml:space="preserve"> epistemic scaffold — </w:t>
      </w:r>
      <w:proofErr w:type="spellStart"/>
      <w:r w:rsidRPr="007F4628">
        <w:t>sebuah</w:t>
      </w:r>
      <w:proofErr w:type="spellEnd"/>
      <w:r w:rsidRPr="007F4628">
        <w:t xml:space="preserve"> </w:t>
      </w:r>
      <w:proofErr w:type="spellStart"/>
      <w:r w:rsidRPr="007F4628">
        <w:t>perancah</w:t>
      </w:r>
      <w:proofErr w:type="spellEnd"/>
      <w:r w:rsidRPr="007F4628">
        <w:t xml:space="preserve"> </w:t>
      </w:r>
      <w:proofErr w:type="spellStart"/>
      <w:r w:rsidRPr="007F4628">
        <w:t>epistemik</w:t>
      </w:r>
      <w:proofErr w:type="spellEnd"/>
      <w:r w:rsidRPr="007F4628">
        <w:t xml:space="preserve"> yang </w:t>
      </w:r>
      <w:proofErr w:type="spellStart"/>
      <w:r w:rsidRPr="007F4628">
        <w:t>membuat</w:t>
      </w:r>
      <w:proofErr w:type="spellEnd"/>
      <w:r w:rsidRPr="007F4628">
        <w:t xml:space="preserve"> </w:t>
      </w:r>
      <w:proofErr w:type="spellStart"/>
      <w:r w:rsidRPr="007F4628">
        <w:t>premis-premis</w:t>
      </w:r>
      <w:proofErr w:type="spellEnd"/>
      <w:r w:rsidRPr="007F4628">
        <w:t xml:space="preserve"> </w:t>
      </w:r>
      <w:proofErr w:type="spellStart"/>
      <w:r w:rsidRPr="007F4628">
        <w:t>perdebatan</w:t>
      </w:r>
      <w:proofErr w:type="spellEnd"/>
      <w:r w:rsidRPr="007F4628">
        <w:t xml:space="preserve"> </w:t>
      </w:r>
      <w:proofErr w:type="spellStart"/>
      <w:r w:rsidRPr="007F4628">
        <w:t>teologis</w:t>
      </w:r>
      <w:proofErr w:type="spellEnd"/>
      <w:r w:rsidRPr="007F4628">
        <w:t xml:space="preserve"> </w:t>
      </w:r>
      <w:proofErr w:type="spellStart"/>
      <w:r w:rsidRPr="007F4628">
        <w:t>menjadi</w:t>
      </w:r>
      <w:proofErr w:type="spellEnd"/>
      <w:r w:rsidRPr="007F4628">
        <w:t xml:space="preserve"> </w:t>
      </w:r>
      <w:proofErr w:type="spellStart"/>
      <w:r w:rsidRPr="007F4628">
        <w:t>eksplisit</w:t>
      </w:r>
      <w:proofErr w:type="spellEnd"/>
      <w:r w:rsidRPr="007F4628">
        <w:t xml:space="preserve">, </w:t>
      </w:r>
      <w:proofErr w:type="spellStart"/>
      <w:r w:rsidRPr="007F4628">
        <w:t>terbuka</w:t>
      </w:r>
      <w:proofErr w:type="spellEnd"/>
      <w:r w:rsidRPr="007F4628">
        <w:t xml:space="preserve">, dan </w:t>
      </w:r>
      <w:proofErr w:type="spellStart"/>
      <w:r w:rsidRPr="007F4628">
        <w:t>dapat</w:t>
      </w:r>
      <w:proofErr w:type="spellEnd"/>
      <w:r w:rsidRPr="007F4628">
        <w:t xml:space="preserve"> </w:t>
      </w:r>
      <w:proofErr w:type="spellStart"/>
      <w:r w:rsidRPr="007F4628">
        <w:t>diverifikasi</w:t>
      </w:r>
      <w:proofErr w:type="spellEnd"/>
      <w:r w:rsidRPr="007F4628">
        <w:t xml:space="preserve">. </w:t>
      </w:r>
      <w:proofErr w:type="spellStart"/>
      <w:r w:rsidRPr="007F4628">
        <w:t>Dengan</w:t>
      </w:r>
      <w:proofErr w:type="spellEnd"/>
      <w:r w:rsidRPr="007F4628">
        <w:t xml:space="preserve"> </w:t>
      </w:r>
      <w:proofErr w:type="spellStart"/>
      <w:r w:rsidRPr="007F4628">
        <w:t>menggunakan</w:t>
      </w:r>
      <w:proofErr w:type="spellEnd"/>
      <w:r w:rsidRPr="007F4628">
        <w:t xml:space="preserve"> </w:t>
      </w:r>
      <w:proofErr w:type="spellStart"/>
      <w:r w:rsidRPr="007F4628">
        <w:t>kasus</w:t>
      </w:r>
      <w:proofErr w:type="spellEnd"/>
      <w:r w:rsidRPr="007F4628">
        <w:t xml:space="preserve"> viral </w:t>
      </w:r>
      <w:proofErr w:type="spellStart"/>
      <w:r w:rsidRPr="007F4628">
        <w:t>penceramah</w:t>
      </w:r>
      <w:proofErr w:type="spellEnd"/>
      <w:r w:rsidRPr="007F4628">
        <w:t xml:space="preserve"> Mama Ghufron (2024) </w:t>
      </w:r>
      <w:proofErr w:type="spellStart"/>
      <w:r w:rsidRPr="007F4628">
        <w:t>sebagai</w:t>
      </w:r>
      <w:proofErr w:type="spellEnd"/>
      <w:r w:rsidRPr="007F4628">
        <w:t xml:space="preserve"> </w:t>
      </w:r>
      <w:proofErr w:type="spellStart"/>
      <w:r w:rsidRPr="007F4628">
        <w:t>studi</w:t>
      </w:r>
      <w:proofErr w:type="spellEnd"/>
      <w:r w:rsidRPr="007F4628">
        <w:t xml:space="preserve"> </w:t>
      </w:r>
      <w:proofErr w:type="spellStart"/>
      <w:r w:rsidRPr="007F4628">
        <w:t>kasus</w:t>
      </w:r>
      <w:proofErr w:type="spellEnd"/>
      <w:r w:rsidRPr="007F4628">
        <w:t xml:space="preserve">, dataset 57 </w:t>
      </w:r>
      <w:proofErr w:type="spellStart"/>
      <w:r w:rsidRPr="007F4628">
        <w:t>variabel</w:t>
      </w:r>
      <w:proofErr w:type="spellEnd"/>
      <w:r w:rsidRPr="007F4628">
        <w:t xml:space="preserve"> biner </w:t>
      </w:r>
      <w:proofErr w:type="spellStart"/>
      <w:r w:rsidRPr="007F4628">
        <w:t>dikonstruksi</w:t>
      </w:r>
      <w:proofErr w:type="spellEnd"/>
      <w:r w:rsidRPr="007F4628">
        <w:t xml:space="preserve"> </w:t>
      </w:r>
      <w:proofErr w:type="spellStart"/>
      <w:r w:rsidRPr="007F4628">
        <w:t>dari</w:t>
      </w:r>
      <w:proofErr w:type="spellEnd"/>
      <w:r w:rsidRPr="007F4628">
        <w:t xml:space="preserve"> </w:t>
      </w:r>
      <w:proofErr w:type="spellStart"/>
      <w:r w:rsidRPr="007F4628">
        <w:t>laporan</w:t>
      </w:r>
      <w:proofErr w:type="spellEnd"/>
      <w:r w:rsidRPr="007F4628">
        <w:t xml:space="preserve"> media </w:t>
      </w:r>
      <w:proofErr w:type="spellStart"/>
      <w:r w:rsidRPr="007F4628">
        <w:t>terverifikasi</w:t>
      </w:r>
      <w:proofErr w:type="spellEnd"/>
      <w:r w:rsidRPr="007F4628">
        <w:t xml:space="preserve"> dan </w:t>
      </w:r>
      <w:proofErr w:type="spellStart"/>
      <w:r w:rsidRPr="007F4628">
        <w:t>respons</w:t>
      </w:r>
      <w:proofErr w:type="spellEnd"/>
      <w:r w:rsidRPr="007F4628">
        <w:t xml:space="preserve"> </w:t>
      </w:r>
      <w:proofErr w:type="spellStart"/>
      <w:r w:rsidRPr="007F4628">
        <w:t>resmi</w:t>
      </w:r>
      <w:proofErr w:type="spellEnd"/>
      <w:r w:rsidRPr="007F4628">
        <w:t xml:space="preserve"> </w:t>
      </w:r>
      <w:proofErr w:type="spellStart"/>
      <w:r w:rsidRPr="007F4628">
        <w:t>lembaga</w:t>
      </w:r>
      <w:proofErr w:type="spellEnd"/>
      <w:r w:rsidRPr="007F4628">
        <w:t xml:space="preserve"> </w:t>
      </w:r>
      <w:proofErr w:type="spellStart"/>
      <w:r w:rsidRPr="007F4628">
        <w:t>keagamaan</w:t>
      </w:r>
      <w:proofErr w:type="spellEnd"/>
      <w:r w:rsidRPr="007F4628">
        <w:t xml:space="preserve">. Hasil </w:t>
      </w:r>
      <w:proofErr w:type="spellStart"/>
      <w:r w:rsidRPr="007F4628">
        <w:t>perhitungan</w:t>
      </w:r>
      <w:proofErr w:type="spellEnd"/>
      <w:r w:rsidRPr="007F4628">
        <w:t xml:space="preserve"> </w:t>
      </w:r>
      <w:proofErr w:type="spellStart"/>
      <w:r w:rsidRPr="007F4628">
        <w:t>menunjukkan</w:t>
      </w:r>
      <w:proofErr w:type="spellEnd"/>
      <w:r w:rsidRPr="007F4628">
        <w:t xml:space="preserve"> cosine similarity </w:t>
      </w:r>
      <w:proofErr w:type="spellStart"/>
      <w:r w:rsidRPr="007F4628">
        <w:t>sebesar</w:t>
      </w:r>
      <w:proofErr w:type="spellEnd"/>
      <w:r w:rsidRPr="007F4628">
        <w:t xml:space="preserve"> 0,5923 </w:t>
      </w:r>
      <w:proofErr w:type="spellStart"/>
      <w:r w:rsidRPr="007F4628">
        <w:t>antara</w:t>
      </w:r>
      <w:proofErr w:type="spellEnd"/>
      <w:r w:rsidRPr="007F4628">
        <w:t xml:space="preserve"> </w:t>
      </w:r>
      <w:proofErr w:type="spellStart"/>
      <w:r w:rsidRPr="007F4628">
        <w:t>profil</w:t>
      </w:r>
      <w:proofErr w:type="spellEnd"/>
      <w:r w:rsidRPr="007F4628">
        <w:t xml:space="preserve"> </w:t>
      </w:r>
      <w:proofErr w:type="spellStart"/>
      <w:r w:rsidRPr="007F4628">
        <w:t>klaim</w:t>
      </w:r>
      <w:proofErr w:type="spellEnd"/>
      <w:r w:rsidRPr="007F4628">
        <w:t xml:space="preserve"> </w:t>
      </w:r>
      <w:proofErr w:type="spellStart"/>
      <w:r w:rsidRPr="007F4628">
        <w:t>subjek</w:t>
      </w:r>
      <w:proofErr w:type="spellEnd"/>
      <w:r w:rsidRPr="007F4628">
        <w:t xml:space="preserve"> dan </w:t>
      </w:r>
      <w:proofErr w:type="spellStart"/>
      <w:r w:rsidRPr="007F4628">
        <w:t>Posisi</w:t>
      </w:r>
      <w:proofErr w:type="spellEnd"/>
      <w:r w:rsidRPr="007F4628">
        <w:t xml:space="preserve"> Islam Mainstream. Artikel </w:t>
      </w:r>
      <w:proofErr w:type="spellStart"/>
      <w:r w:rsidRPr="007F4628">
        <w:t>ini</w:t>
      </w:r>
      <w:proofErr w:type="spellEnd"/>
      <w:r w:rsidRPr="007F4628">
        <w:t xml:space="preserve"> </w:t>
      </w:r>
      <w:proofErr w:type="spellStart"/>
      <w:r w:rsidRPr="007F4628">
        <w:t>berargumen</w:t>
      </w:r>
      <w:proofErr w:type="spellEnd"/>
      <w:r w:rsidRPr="007F4628">
        <w:t xml:space="preserve"> </w:t>
      </w:r>
      <w:proofErr w:type="spellStart"/>
      <w:r w:rsidRPr="007F4628">
        <w:t>bahwa</w:t>
      </w:r>
      <w:proofErr w:type="spellEnd"/>
      <w:r w:rsidRPr="007F4628">
        <w:t xml:space="preserve"> </w:t>
      </w:r>
      <w:proofErr w:type="spellStart"/>
      <w:r w:rsidRPr="007F4628">
        <w:t>nilai</w:t>
      </w:r>
      <w:proofErr w:type="spellEnd"/>
      <w:r w:rsidRPr="007F4628">
        <w:t xml:space="preserve"> </w:t>
      </w:r>
      <w:proofErr w:type="spellStart"/>
      <w:r w:rsidRPr="007F4628">
        <w:t>tersebut</w:t>
      </w:r>
      <w:proofErr w:type="spellEnd"/>
      <w:r w:rsidRPr="007F4628">
        <w:t xml:space="preserve"> </w:t>
      </w:r>
      <w:proofErr w:type="spellStart"/>
      <w:r w:rsidRPr="007F4628">
        <w:t>bukan</w:t>
      </w:r>
      <w:proofErr w:type="spellEnd"/>
      <w:r w:rsidRPr="007F4628">
        <w:t xml:space="preserve"> </w:t>
      </w:r>
      <w:proofErr w:type="spellStart"/>
      <w:r w:rsidRPr="007F4628">
        <w:t>vonis</w:t>
      </w:r>
      <w:proofErr w:type="spellEnd"/>
      <w:r w:rsidRPr="007F4628">
        <w:t xml:space="preserve"> </w:t>
      </w:r>
      <w:proofErr w:type="spellStart"/>
      <w:r w:rsidRPr="007F4628">
        <w:t>teologis</w:t>
      </w:r>
      <w:proofErr w:type="spellEnd"/>
      <w:r w:rsidRPr="007F4628">
        <w:t xml:space="preserve">, </w:t>
      </w:r>
      <w:proofErr w:type="spellStart"/>
      <w:r w:rsidRPr="007F4628">
        <w:t>melainkan</w:t>
      </w:r>
      <w:proofErr w:type="spellEnd"/>
      <w:r w:rsidRPr="007F4628">
        <w:t xml:space="preserve"> </w:t>
      </w:r>
      <w:proofErr w:type="spellStart"/>
      <w:r w:rsidRPr="007F4628">
        <w:t>instrumen</w:t>
      </w:r>
      <w:proofErr w:type="spellEnd"/>
      <w:r w:rsidRPr="007F4628">
        <w:t xml:space="preserve"> </w:t>
      </w:r>
      <w:proofErr w:type="spellStart"/>
      <w:r w:rsidRPr="007F4628">
        <w:t>transparansi</w:t>
      </w:r>
      <w:proofErr w:type="spellEnd"/>
      <w:r w:rsidRPr="007F4628">
        <w:t xml:space="preserve"> yang </w:t>
      </w:r>
      <w:proofErr w:type="spellStart"/>
      <w:r w:rsidRPr="007F4628">
        <w:t>memungkinkan</w:t>
      </w:r>
      <w:proofErr w:type="spellEnd"/>
      <w:r w:rsidRPr="007F4628">
        <w:t xml:space="preserve"> </w:t>
      </w:r>
      <w:proofErr w:type="spellStart"/>
      <w:r w:rsidRPr="007F4628">
        <w:t>diskusi</w:t>
      </w:r>
      <w:proofErr w:type="spellEnd"/>
      <w:r w:rsidRPr="007F4628">
        <w:t xml:space="preserve"> </w:t>
      </w:r>
      <w:proofErr w:type="spellStart"/>
      <w:r w:rsidRPr="007F4628">
        <w:t>publik</w:t>
      </w:r>
      <w:proofErr w:type="spellEnd"/>
      <w:r w:rsidRPr="007F4628">
        <w:t xml:space="preserve"> </w:t>
      </w:r>
      <w:proofErr w:type="spellStart"/>
      <w:r w:rsidRPr="007F4628">
        <w:t>dimulai</w:t>
      </w:r>
      <w:proofErr w:type="spellEnd"/>
      <w:r w:rsidRPr="007F4628">
        <w:t xml:space="preserve"> </w:t>
      </w:r>
      <w:proofErr w:type="spellStart"/>
      <w:r w:rsidRPr="007F4628">
        <w:t>dari</w:t>
      </w:r>
      <w:proofErr w:type="spellEnd"/>
      <w:r w:rsidRPr="007F4628">
        <w:t xml:space="preserve"> </w:t>
      </w:r>
      <w:proofErr w:type="spellStart"/>
      <w:r w:rsidRPr="007F4628">
        <w:t>fakta</w:t>
      </w:r>
      <w:proofErr w:type="spellEnd"/>
      <w:r w:rsidRPr="007F4628">
        <w:t xml:space="preserve"> yang </w:t>
      </w:r>
      <w:proofErr w:type="spellStart"/>
      <w:r w:rsidRPr="007F4628">
        <w:t>sama</w:t>
      </w:r>
      <w:proofErr w:type="spellEnd"/>
      <w:r w:rsidRPr="007F4628">
        <w:t xml:space="preserve">. </w:t>
      </w:r>
      <w:proofErr w:type="spellStart"/>
      <w:r w:rsidRPr="007F4628">
        <w:t>Implikasi</w:t>
      </w:r>
      <w:proofErr w:type="spellEnd"/>
      <w:r w:rsidRPr="007F4628">
        <w:t xml:space="preserve"> </w:t>
      </w:r>
      <w:proofErr w:type="spellStart"/>
      <w:r w:rsidRPr="007F4628">
        <w:t>dibahas</w:t>
      </w:r>
      <w:proofErr w:type="spellEnd"/>
      <w:r w:rsidRPr="007F4628">
        <w:t xml:space="preserve"> </w:t>
      </w:r>
      <w:proofErr w:type="spellStart"/>
      <w:r w:rsidRPr="007F4628">
        <w:t>dari</w:t>
      </w:r>
      <w:proofErr w:type="spellEnd"/>
      <w:r w:rsidRPr="007F4628">
        <w:t xml:space="preserve"> </w:t>
      </w:r>
      <w:proofErr w:type="spellStart"/>
      <w:r w:rsidRPr="007F4628">
        <w:t>tiga</w:t>
      </w:r>
      <w:proofErr w:type="spellEnd"/>
      <w:r w:rsidRPr="007F4628">
        <w:t xml:space="preserve"> </w:t>
      </w:r>
      <w:proofErr w:type="spellStart"/>
      <w:r w:rsidRPr="007F4628">
        <w:t>sudut</w:t>
      </w:r>
      <w:proofErr w:type="spellEnd"/>
      <w:r w:rsidRPr="007F4628">
        <w:t xml:space="preserve">: </w:t>
      </w:r>
      <w:proofErr w:type="spellStart"/>
      <w:r w:rsidRPr="007F4628">
        <w:t>filsafat</w:t>
      </w:r>
      <w:proofErr w:type="spellEnd"/>
      <w:r w:rsidRPr="007F4628">
        <w:t xml:space="preserve"> </w:t>
      </w:r>
      <w:proofErr w:type="spellStart"/>
      <w:r w:rsidRPr="007F4628">
        <w:t>sains</w:t>
      </w:r>
      <w:proofErr w:type="spellEnd"/>
      <w:r w:rsidRPr="007F4628">
        <w:t xml:space="preserve"> (</w:t>
      </w:r>
      <w:proofErr w:type="spellStart"/>
      <w:r w:rsidRPr="007F4628">
        <w:t>formalisasi</w:t>
      </w:r>
      <w:proofErr w:type="spellEnd"/>
      <w:r w:rsidRPr="007F4628">
        <w:t xml:space="preserve"> domain non-</w:t>
      </w:r>
      <w:proofErr w:type="spellStart"/>
      <w:r w:rsidRPr="007F4628">
        <w:t>ilmiah</w:t>
      </w:r>
      <w:proofErr w:type="spellEnd"/>
      <w:r w:rsidRPr="007F4628">
        <w:t xml:space="preserve">), </w:t>
      </w:r>
      <w:proofErr w:type="spellStart"/>
      <w:r w:rsidRPr="007F4628">
        <w:t>matematika</w:t>
      </w:r>
      <w:proofErr w:type="spellEnd"/>
      <w:r w:rsidRPr="007F4628">
        <w:t xml:space="preserve"> </w:t>
      </w:r>
      <w:proofErr w:type="spellStart"/>
      <w:r w:rsidRPr="007F4628">
        <w:t>terapan</w:t>
      </w:r>
      <w:proofErr w:type="spellEnd"/>
      <w:r w:rsidRPr="007F4628">
        <w:t xml:space="preserve"> (</w:t>
      </w:r>
      <w:proofErr w:type="spellStart"/>
      <w:r w:rsidRPr="007F4628">
        <w:t>perluasan</w:t>
      </w:r>
      <w:proofErr w:type="spellEnd"/>
      <w:r w:rsidRPr="007F4628">
        <w:t xml:space="preserve"> cosine similarity </w:t>
      </w:r>
      <w:proofErr w:type="spellStart"/>
      <w:r w:rsidRPr="007F4628">
        <w:t>ke</w:t>
      </w:r>
      <w:proofErr w:type="spellEnd"/>
      <w:r w:rsidRPr="007F4628">
        <w:t xml:space="preserve"> </w:t>
      </w:r>
      <w:proofErr w:type="spellStart"/>
      <w:r w:rsidRPr="007F4628">
        <w:t>luar</w:t>
      </w:r>
      <w:proofErr w:type="spellEnd"/>
      <w:r w:rsidRPr="007F4628">
        <w:t xml:space="preserve"> domain </w:t>
      </w:r>
      <w:proofErr w:type="spellStart"/>
      <w:r w:rsidRPr="007F4628">
        <w:t>komputasi</w:t>
      </w:r>
      <w:proofErr w:type="spellEnd"/>
      <w:r w:rsidRPr="007F4628">
        <w:t xml:space="preserve"> </w:t>
      </w:r>
      <w:proofErr w:type="spellStart"/>
      <w:r w:rsidRPr="007F4628">
        <w:t>teks</w:t>
      </w:r>
      <w:proofErr w:type="spellEnd"/>
      <w:r w:rsidRPr="007F4628">
        <w:t xml:space="preserve">), dan </w:t>
      </w:r>
      <w:proofErr w:type="spellStart"/>
      <w:r w:rsidRPr="007F4628">
        <w:t>epistemologi</w:t>
      </w:r>
      <w:proofErr w:type="spellEnd"/>
      <w:r w:rsidRPr="007F4628">
        <w:t xml:space="preserve"> Islam (</w:t>
      </w:r>
      <w:proofErr w:type="spellStart"/>
      <w:r w:rsidRPr="007F4628">
        <w:t>naql</w:t>
      </w:r>
      <w:proofErr w:type="spellEnd"/>
      <w:r w:rsidRPr="007F4628">
        <w:t xml:space="preserve"> dan ’</w:t>
      </w:r>
      <w:proofErr w:type="spellStart"/>
      <w:r w:rsidRPr="007F4628">
        <w:t>aql</w:t>
      </w:r>
      <w:proofErr w:type="spellEnd"/>
      <w:r w:rsidRPr="007F4628">
        <w:t xml:space="preserve"> </w:t>
      </w:r>
      <w:proofErr w:type="spellStart"/>
      <w:r w:rsidRPr="007F4628">
        <w:t>sebagai</w:t>
      </w:r>
      <w:proofErr w:type="spellEnd"/>
      <w:r w:rsidRPr="007F4628">
        <w:t xml:space="preserve"> basis </w:t>
      </w:r>
      <w:proofErr w:type="spellStart"/>
      <w:r w:rsidRPr="007F4628">
        <w:t>evaluasi</w:t>
      </w:r>
      <w:proofErr w:type="spellEnd"/>
      <w:r w:rsidRPr="007F4628">
        <w:t xml:space="preserve"> </w:t>
      </w:r>
      <w:proofErr w:type="spellStart"/>
      <w:r w:rsidRPr="007F4628">
        <w:t>klaim</w:t>
      </w:r>
      <w:proofErr w:type="spellEnd"/>
      <w:r w:rsidRPr="007F4628">
        <w:t>).</w:t>
      </w:r>
    </w:p>
    <w:p w14:paraId="5CE97135" w14:textId="4F37870E" w:rsidR="00237B95" w:rsidRDefault="00237B95" w:rsidP="007F4628">
      <w:pPr>
        <w:pStyle w:val="04abstracttext"/>
      </w:pPr>
    </w:p>
    <w:p w14:paraId="03A67FC6" w14:textId="1A0DC423" w:rsidR="00E446E9" w:rsidRDefault="00E446E9" w:rsidP="006157C3">
      <w:pPr>
        <w:pStyle w:val="05keywords"/>
        <w:rPr>
          <w:b w:val="0"/>
        </w:rPr>
      </w:pPr>
      <w:r>
        <w:t>Keywords</w:t>
      </w:r>
      <w:r w:rsidRPr="006157C3">
        <w:rPr>
          <w:b w:val="0"/>
        </w:rPr>
        <w:t xml:space="preserve">: </w:t>
      </w:r>
      <w:r w:rsidR="0047350E" w:rsidRPr="007F4628">
        <w:rPr>
          <w:b w:val="0"/>
          <w:i/>
          <w:iCs/>
        </w:rPr>
        <w:t>cosine similarity, binary vector, Islamic epistemology, philosophy of science, theological discourse.</w:t>
      </w:r>
    </w:p>
    <w:p w14:paraId="5F53D747" w14:textId="77777777" w:rsidR="00237B95" w:rsidRDefault="00237B95" w:rsidP="006157C3">
      <w:pPr>
        <w:pStyle w:val="05keywords"/>
        <w:rPr>
          <w:bCs/>
        </w:rPr>
      </w:pPr>
    </w:p>
    <w:p w14:paraId="258072D3" w14:textId="712DDC1B" w:rsidR="000A54CF" w:rsidRDefault="00E446E9" w:rsidP="006157C3">
      <w:pPr>
        <w:pStyle w:val="06Heading1"/>
      </w:pPr>
      <w:r>
        <w:lastRenderedPageBreak/>
        <w:t>A.</w:t>
      </w:r>
      <w:r>
        <w:tab/>
      </w:r>
      <w:r w:rsidR="001E6D21" w:rsidRPr="00E446E9">
        <w:t>Introduction</w:t>
      </w:r>
    </w:p>
    <w:p w14:paraId="39316B62" w14:textId="5309B13E" w:rsidR="009E649E" w:rsidRDefault="001A3193" w:rsidP="009E649E">
      <w:pPr>
        <w:pStyle w:val="07bodytext"/>
      </w:pPr>
      <w:r>
        <w:t xml:space="preserve"> </w:t>
      </w:r>
      <w:r w:rsidR="009E649E">
        <w:t>One of the fundamental challenges in public religious discourse is the absence of a common reference system that can be examined intersubjectively. When a religious figure is claimed to be deviant, the debate that arises often runs on two separate tracks: opponents cite certain claims as evidence of deviance, while proponents respond with arguments of character or community loyalty. There is no equally held map, no agreed variables, and no way to check how far the differences actually exist in a structured manner.</w:t>
      </w:r>
    </w:p>
    <w:p w14:paraId="37F1739B" w14:textId="77777777" w:rsidR="009E649E" w:rsidRDefault="009E649E" w:rsidP="009E649E">
      <w:pPr>
        <w:pStyle w:val="07bodytext"/>
      </w:pPr>
      <w:r>
        <w:t>The absence of this common reference system is not just a communication problem. It is an epistemological problem. Without a transparent and verifiable framework, discussions about orthodoxy and heterodoxy are vulnerable to rhetorical manipulation from all directions. Supporters can blur substantive differences with emotional arguments, while opponents can exaggerate distance by selectively highlighting the most controversial claims while ignoring the common foundations that remain.</w:t>
      </w:r>
    </w:p>
    <w:p w14:paraId="44ECD574" w14:textId="77777777" w:rsidR="009E649E" w:rsidRDefault="009E649E" w:rsidP="009E649E">
      <w:pPr>
        <w:pStyle w:val="07bodytext"/>
      </w:pPr>
      <w:r>
        <w:t xml:space="preserve">Mathematics, especially the cosine similarity technique commonly used in natural language processing and information retrieval, offers a possibility that has not been explored much before: borrowing an </w:t>
      </w:r>
      <w:proofErr w:type="spellStart"/>
      <w:r>
        <w:t>intervector</w:t>
      </w:r>
      <w:proofErr w:type="spellEnd"/>
      <w:r>
        <w:t xml:space="preserve"> distance measuring tool to map the distance between two doctrinal positions. Not as a determinant of truth, but as an epistemic scaffolding that makes the premises of the debate explicit and auditable.</w:t>
      </w:r>
    </w:p>
    <w:p w14:paraId="4CC59C4E" w14:textId="77777777" w:rsidR="009E649E" w:rsidRDefault="009E649E" w:rsidP="009E649E">
      <w:pPr>
        <w:pStyle w:val="07bodytext"/>
      </w:pPr>
      <w:r>
        <w:t xml:space="preserve">This article asks the question: To what extent can cosine similarity over binary representations of religious claims serve as a valid epistemic tool in public theological discourse, and what are its legitimate limits? To answer this question, the article uses the viral case of a preacher from East Java known as Mama Ghufron, who in mid-2024 became a national spotlight due to a series of religious claims reported by the media and officially responded to by the Indonesian Ulema Council (MUI) and the Executive Board of </w:t>
      </w:r>
      <w:proofErr w:type="spellStart"/>
      <w:r>
        <w:t>Nahdlatul</w:t>
      </w:r>
      <w:proofErr w:type="spellEnd"/>
      <w:r>
        <w:t xml:space="preserve"> Ulama (PBNU).</w:t>
      </w:r>
    </w:p>
    <w:p w14:paraId="2CB2B2BF" w14:textId="540A3C05" w:rsidR="00936CDC" w:rsidRDefault="009E649E" w:rsidP="009E649E">
      <w:pPr>
        <w:pStyle w:val="07bodytext"/>
      </w:pPr>
      <w:r>
        <w:lastRenderedPageBreak/>
        <w:t>The purpose of this article is three. First, demonstrate how cosine similarity works in the context of religious claim representation. Second, interpreting the results of the calculation within the framework of Islamic philosophy of science and epistemology. Third, honestly map out the boundaries of this approach so that it is not misused as a substitute for true theological judgment.</w:t>
      </w:r>
    </w:p>
    <w:p w14:paraId="4999B141" w14:textId="569E1A18" w:rsidR="009E649E" w:rsidRDefault="009E649E" w:rsidP="00811FE5">
      <w:pPr>
        <w:pStyle w:val="07bodytext"/>
      </w:pPr>
      <w:r>
        <w:t>Cosine similarity was first introduced as a measure of similarity in vector space models by Salton and his colleagues in order to build an automated information retrieval system.</w:t>
      </w:r>
      <w:r w:rsidR="005668FB">
        <w:rPr>
          <w:rStyle w:val="ReferensiCatatanKaki"/>
        </w:rPr>
        <w:footnoteReference w:id="1"/>
      </w:r>
      <w:r>
        <w:t xml:space="preserve"> In its original context, it is used to measure how similar two text documents are based on the frequency with which words appear. Mathematically, it is defined as the angular cosine between two vectors in multidimensional space, resulting in values between 0 (no resemblance) and 1 (identical).</w:t>
      </w:r>
    </w:p>
    <w:p w14:paraId="2831DBD7" w14:textId="6E518E51" w:rsidR="009E649E" w:rsidRDefault="009E649E" w:rsidP="00811FE5">
      <w:pPr>
        <w:pStyle w:val="07bodytext"/>
      </w:pPr>
      <w:r>
        <w:t>Further developments show that cosine similarity has special advantages for binary data and sparse data: it does not count absentee matches as evidence of similarity, but only calculates the convergence of positive values</w:t>
      </w:r>
      <w:r w:rsidR="005668FB">
        <w:t>.</w:t>
      </w:r>
      <w:r w:rsidR="005668FB">
        <w:rPr>
          <w:rStyle w:val="ReferensiCatatanKaki"/>
        </w:rPr>
        <w:footnoteReference w:id="2"/>
      </w:r>
      <w:r w:rsidR="005668FB">
        <w:t xml:space="preserve"> </w:t>
      </w:r>
      <w:r>
        <w:t>This makes it fairer than simple similarity measures based on percentage matches, especially when the data has a lot of zero values.</w:t>
      </w:r>
    </w:p>
    <w:p w14:paraId="1BCB8DB1" w14:textId="7E6C58DC" w:rsidR="009E649E" w:rsidRDefault="009E649E" w:rsidP="00811FE5">
      <w:pPr>
        <w:pStyle w:val="07bodytext"/>
      </w:pPr>
      <w:r>
        <w:t>In computational social science, cosine similarity has been used to measure the similarity of political positions between parties based on voting patterns</w:t>
      </w:r>
      <w:r w:rsidR="005668FB">
        <w:t>,</w:t>
      </w:r>
      <w:r w:rsidR="005668FB">
        <w:rPr>
          <w:rStyle w:val="ReferensiCatatanKaki"/>
        </w:rPr>
        <w:footnoteReference w:id="3"/>
      </w:r>
      <w:r w:rsidR="005668FB">
        <w:t xml:space="preserve"> </w:t>
      </w:r>
      <w:r>
        <w:t>to classify sentiment in social media texts,</w:t>
      </w:r>
      <w:r w:rsidR="005668FB">
        <w:rPr>
          <w:rStyle w:val="ReferensiCatatanKaki"/>
        </w:rPr>
        <w:footnoteReference w:id="4"/>
      </w:r>
      <w:r>
        <w:t xml:space="preserve"> and to map ideological closeness in policy documents.</w:t>
      </w:r>
      <w:r w:rsidR="005668FB">
        <w:rPr>
          <w:rStyle w:val="ReferensiCatatanKaki"/>
        </w:rPr>
        <w:footnoteReference w:id="5"/>
      </w:r>
      <w:r>
        <w:t xml:space="preserve"> However, its application to map the distance </w:t>
      </w:r>
      <w:r>
        <w:lastRenderedPageBreak/>
        <w:t>between religious doctrinal positions and an orthodoxy baseline, particularly with datasets constructed explicitly from verified sources, has not received systematic attention in the literature.</w:t>
      </w:r>
    </w:p>
    <w:p w14:paraId="00D880DB" w14:textId="1D37F7FC" w:rsidR="009E649E" w:rsidRDefault="009E649E" w:rsidP="00A13D00">
      <w:pPr>
        <w:pStyle w:val="07bodytext"/>
      </w:pPr>
      <w:r>
        <w:t>The question of whether religious claims can or should be mathematically formalized touches on one of the longest-running debates in the philosophy of science, the demarcation problem—the boundary line between science and non-science. Karl Popper (200</w:t>
      </w:r>
      <w:r w:rsidR="005668FB">
        <w:t>5</w:t>
      </w:r>
      <w:r>
        <w:t>) proposed falsifiability as a demarcation criterion: a statement is scientific only if it can be refuted in principle by empirical evidence. Religious claims, in Popper's framework, are generally outside the domain of science not because they are wrong, but because their structure does not allow for falsification.</w:t>
      </w:r>
      <w:r w:rsidR="005668FB">
        <w:rPr>
          <w:rStyle w:val="ReferensiCatatanKaki"/>
        </w:rPr>
        <w:footnoteReference w:id="6"/>
      </w:r>
    </w:p>
    <w:p w14:paraId="0CD40FFA" w14:textId="073148E1" w:rsidR="009E649E" w:rsidRDefault="009E649E" w:rsidP="00A13D00">
      <w:pPr>
        <w:pStyle w:val="07bodytext"/>
      </w:pPr>
      <w:r>
        <w:t>Lakatos (1978) perfected this position with the concept of a research program: every research program has a hard core that is protected from falsification, and a protective belt that can be modified. In a religious context, the core beliefs function similarly to the hard core, while the fringe interpretations are more flexible.</w:t>
      </w:r>
      <w:r w:rsidR="005668FB">
        <w:rPr>
          <w:rStyle w:val="ReferensiCatatanKaki"/>
        </w:rPr>
        <w:footnoteReference w:id="7"/>
      </w:r>
      <w:r>
        <w:t xml:space="preserve"> This approach opens up room for questioning: in what part of this structure does a religious claim lie?</w:t>
      </w:r>
    </w:p>
    <w:p w14:paraId="3E75A910" w14:textId="34E6AEE3" w:rsidR="009E649E" w:rsidRDefault="009E649E" w:rsidP="00A13D00">
      <w:pPr>
        <w:pStyle w:val="07bodytext"/>
      </w:pPr>
      <w:r>
        <w:t>Quine (1951) adds a relevant perspective through the web of beliefs argument: beliefs do not stand alone but are interconnected in a network, and the revision of one belief has implications for other beliefs.</w:t>
      </w:r>
      <w:r w:rsidR="005668FB">
        <w:rPr>
          <w:rStyle w:val="ReferensiCatatanKaki"/>
        </w:rPr>
        <w:footnoteReference w:id="8"/>
      </w:r>
      <w:r>
        <w:t xml:space="preserve"> The formalization of religious claims into discrete variables—as proposed in this article—is a simplification that ignores this interconnectedness, and it must be recognized as an inherent limitation.</w:t>
      </w:r>
    </w:p>
    <w:p w14:paraId="42E3957B" w14:textId="77777777" w:rsidR="009E649E" w:rsidRDefault="009E649E" w:rsidP="00A13D00">
      <w:pPr>
        <w:pStyle w:val="07bodytext"/>
      </w:pPr>
      <w:r>
        <w:t xml:space="preserve">It is important to note that this article does not claim that cosine similarity turns religious claims into scientific statements in the Popperian </w:t>
      </w:r>
      <w:r>
        <w:lastRenderedPageBreak/>
        <w:t>sense. Instead, he borrows the structure of transparency from science—the explicitness of the premise, the verifiability of sources, the reproducibility of calculations—to apply to the domain of public discourse that has been running without such a structure.</w:t>
      </w:r>
    </w:p>
    <w:p w14:paraId="2128CA90" w14:textId="10B93BF8" w:rsidR="009E649E" w:rsidRDefault="009E649E" w:rsidP="00C327CB">
      <w:pPr>
        <w:pStyle w:val="07bodytext"/>
      </w:pPr>
      <w:r>
        <w:t>In the Islamic scientific tradition, the debate on the role of reason ('</w:t>
      </w:r>
      <w:proofErr w:type="spellStart"/>
      <w:r>
        <w:t>aql</w:t>
      </w:r>
      <w:proofErr w:type="spellEnd"/>
      <w:r>
        <w:t>) vis-à-vis the text of revelation (</w:t>
      </w:r>
      <w:proofErr w:type="spellStart"/>
      <w:r>
        <w:t>naql</w:t>
      </w:r>
      <w:proofErr w:type="spellEnd"/>
      <w:r>
        <w:t xml:space="preserve">) has been going on since the Middle Ages. Al-Ghazali in </w:t>
      </w:r>
      <w:proofErr w:type="spellStart"/>
      <w:r>
        <w:t>Tahafut</w:t>
      </w:r>
      <w:proofErr w:type="spellEnd"/>
      <w:r>
        <w:t xml:space="preserve"> al-</w:t>
      </w:r>
      <w:proofErr w:type="spellStart"/>
      <w:r>
        <w:t>Falasifa</w:t>
      </w:r>
      <w:proofErr w:type="spellEnd"/>
      <w:r>
        <w:t xml:space="preserve"> criticizes philosophers who give reason excessive authority in the domains of metaphysics and theology, while Ibn Rushd (Averroes) in </w:t>
      </w:r>
      <w:proofErr w:type="spellStart"/>
      <w:r>
        <w:t>Tahafut</w:t>
      </w:r>
      <w:proofErr w:type="spellEnd"/>
      <w:r>
        <w:t xml:space="preserve"> al-</w:t>
      </w:r>
      <w:proofErr w:type="spellStart"/>
      <w:r>
        <w:t>Tahafut</w:t>
      </w:r>
      <w:proofErr w:type="spellEnd"/>
      <w:r>
        <w:t xml:space="preserve"> argues that reason and revelation, if understood correctly, are not in conflict with each other.</w:t>
      </w:r>
      <w:r w:rsidR="005668FB">
        <w:rPr>
          <w:rStyle w:val="ReferensiCatatanKaki"/>
        </w:rPr>
        <w:footnoteReference w:id="9"/>
      </w:r>
    </w:p>
    <w:p w14:paraId="34EFB45B" w14:textId="0F88DF94" w:rsidR="009E649E" w:rsidRDefault="009E649E" w:rsidP="00C327CB">
      <w:pPr>
        <w:pStyle w:val="07bodytext"/>
      </w:pPr>
      <w:r>
        <w:t>In the modern context, Amin Abdullah (2006) proposes an integration-interconnection paradigm in Islamic science: religious sciences and general sciences do not need to be opposed, but can reinforce each other within the framework of honest methodological dialogue.</w:t>
      </w:r>
      <w:r w:rsidR="005668FB">
        <w:rPr>
          <w:rStyle w:val="ReferensiCatatanKaki"/>
        </w:rPr>
        <w:footnoteReference w:id="10"/>
      </w:r>
      <w:r>
        <w:t xml:space="preserve"> This view is relevant to this article because it opens up space for mathematical devices to enter religious discourse, not as the highest authority, but rather as methodological partners.</w:t>
      </w:r>
    </w:p>
    <w:p w14:paraId="6AE6C9D1" w14:textId="3E419FA3" w:rsidR="009E649E" w:rsidRDefault="009E649E" w:rsidP="00C327CB">
      <w:pPr>
        <w:pStyle w:val="07bodytext"/>
      </w:pPr>
      <w:r>
        <w:t xml:space="preserve">It is also important to note that in the tradition of </w:t>
      </w:r>
      <w:proofErr w:type="spellStart"/>
      <w:r>
        <w:t>ushul</w:t>
      </w:r>
      <w:proofErr w:type="spellEnd"/>
      <w:r>
        <w:t xml:space="preserve"> </w:t>
      </w:r>
      <w:proofErr w:type="spellStart"/>
      <w:r>
        <w:t>fiqh</w:t>
      </w:r>
      <w:proofErr w:type="spellEnd"/>
      <w:r>
        <w:t xml:space="preserve">, the evaluation of claims—including claims about one's spiritual capacity—requires structured verification. The concept of </w:t>
      </w:r>
      <w:proofErr w:type="spellStart"/>
      <w:r>
        <w:t>jarh</w:t>
      </w:r>
      <w:proofErr w:type="spellEnd"/>
      <w:r>
        <w:t xml:space="preserve"> </w:t>
      </w:r>
      <w:proofErr w:type="spellStart"/>
      <w:r>
        <w:t>wa</w:t>
      </w:r>
      <w:proofErr w:type="spellEnd"/>
      <w:r>
        <w:t xml:space="preserve"> </w:t>
      </w:r>
      <w:proofErr w:type="spellStart"/>
      <w:r>
        <w:t>ta'dil</w:t>
      </w:r>
      <w:proofErr w:type="spellEnd"/>
      <w:r>
        <w:t xml:space="preserve"> in hadith, for example, is a systematic assessment system of the credibility of the narrator based on explicit criteria that can be audited.</w:t>
      </w:r>
      <w:r w:rsidR="005668FB">
        <w:rPr>
          <w:rStyle w:val="ReferensiCatatanKaki"/>
        </w:rPr>
        <w:footnoteReference w:id="11"/>
      </w:r>
      <w:r>
        <w:t xml:space="preserve"> In the same spirit, albeit with a different medium, cosine similarity offers an explicit variable-based scoring system that anyone can examine.</w:t>
      </w:r>
    </w:p>
    <w:p w14:paraId="56078949" w14:textId="36D22BC5" w:rsidR="009E649E" w:rsidRDefault="009E649E" w:rsidP="00C327CB">
      <w:pPr>
        <w:pStyle w:val="07bodytext"/>
      </w:pPr>
      <w:r>
        <w:t xml:space="preserve">The emergence of social media platforms has significantly changed the ecosystem of religious discourse. Religious claims are now circulating in the form of video clips, screenshots, and infographics that are cut off from their original context, reaching millions of people in a matter of hours without going </w:t>
      </w:r>
      <w:r>
        <w:lastRenderedPageBreak/>
        <w:t>through any institutional filters.</w:t>
      </w:r>
      <w:r w:rsidR="005668FB">
        <w:rPr>
          <w:rStyle w:val="ReferensiCatatanKaki"/>
        </w:rPr>
        <w:footnoteReference w:id="12"/>
      </w:r>
      <w:r>
        <w:t xml:space="preserve"> </w:t>
      </w:r>
      <w:proofErr w:type="gramStart"/>
      <w:r>
        <w:t>This compounds</w:t>
      </w:r>
      <w:proofErr w:type="gramEnd"/>
      <w:r>
        <w:t xml:space="preserve"> an existing epistemological problem: the fragmentation of information makes it difficult for the general public to get an organized picture of what is really being debated.</w:t>
      </w:r>
    </w:p>
    <w:p w14:paraId="7A2A9161" w14:textId="020EE390" w:rsidR="009E649E" w:rsidRDefault="009E649E" w:rsidP="00C327CB">
      <w:pPr>
        <w:pStyle w:val="07bodytext"/>
      </w:pPr>
      <w:r>
        <w:t>Some research suggests that repeated exposure to certain claims, while inaccurate, can improve their assessment of their truth in public perception—an effect known as the illusory truth effect.</w:t>
      </w:r>
      <w:r w:rsidR="00434CAE">
        <w:rPr>
          <w:rStyle w:val="ReferensiCatatanKaki"/>
        </w:rPr>
        <w:footnoteReference w:id="13"/>
      </w:r>
      <w:r>
        <w:t xml:space="preserve"> In this context, a tool that can help the public visualize differences systematically, based on verifiable sources, has epistemic and social value that goes beyond mere academic interest.</w:t>
      </w:r>
    </w:p>
    <w:p w14:paraId="1FB8199C" w14:textId="5505865B" w:rsidR="0088345E" w:rsidRPr="00237B95" w:rsidRDefault="007F4628" w:rsidP="00237B95">
      <w:pPr>
        <w:pStyle w:val="07bodytext"/>
        <w:ind w:firstLine="0"/>
        <w:rPr>
          <w:b/>
          <w:bCs/>
        </w:rPr>
      </w:pPr>
      <w:r>
        <w:rPr>
          <w:b/>
          <w:bCs/>
        </w:rPr>
        <w:t>B</w:t>
      </w:r>
      <w:r w:rsidR="00237B95" w:rsidRPr="00237B95">
        <w:rPr>
          <w:b/>
          <w:bCs/>
        </w:rPr>
        <w:t xml:space="preserve">. </w:t>
      </w:r>
      <w:r w:rsidR="0088345E" w:rsidRPr="00237B95">
        <w:rPr>
          <w:b/>
          <w:bCs/>
        </w:rPr>
        <w:t>Research Approach</w:t>
      </w:r>
    </w:p>
    <w:p w14:paraId="74BB2F24" w14:textId="77777777" w:rsidR="0088345E" w:rsidRDefault="0088345E" w:rsidP="00A748C4">
      <w:pPr>
        <w:pStyle w:val="07bodytext"/>
      </w:pPr>
      <w:r>
        <w:t>This article uses a descriptive-analytical approach based on a single case study. This approach was chosen because the main purpose of the article is not to generalize the findings to a wider population, but rather to demonstrate and evaluate a methodology—that is, the application of cosine similarity as an epistemic tool in public theological discourse.</w:t>
      </w:r>
    </w:p>
    <w:p w14:paraId="4C0C5E21" w14:textId="32D10A93" w:rsidR="0088345E" w:rsidRPr="00237B95" w:rsidRDefault="007F4628" w:rsidP="00237B95">
      <w:pPr>
        <w:pStyle w:val="07bodytext"/>
        <w:ind w:firstLine="0"/>
        <w:rPr>
          <w:b/>
          <w:bCs/>
        </w:rPr>
      </w:pPr>
      <w:r>
        <w:rPr>
          <w:b/>
          <w:bCs/>
        </w:rPr>
        <w:t>C.</w:t>
      </w:r>
      <w:r w:rsidR="00237B95" w:rsidRPr="00237B95">
        <w:rPr>
          <w:b/>
          <w:bCs/>
        </w:rPr>
        <w:t xml:space="preserve"> </w:t>
      </w:r>
      <w:r w:rsidR="0088345E" w:rsidRPr="00237B95">
        <w:rPr>
          <w:b/>
          <w:bCs/>
        </w:rPr>
        <w:t>Data Sources</w:t>
      </w:r>
    </w:p>
    <w:p w14:paraId="1184011E" w14:textId="77777777" w:rsidR="0088345E" w:rsidRDefault="0088345E" w:rsidP="00A748C4">
      <w:pPr>
        <w:pStyle w:val="07bodytext"/>
      </w:pPr>
      <w:r>
        <w:t xml:space="preserve">The data in this article is sourced from two layers. The first layer is news reports from verified national media covering claims attributed to the subject of the case study, including </w:t>
      </w:r>
      <w:proofErr w:type="spellStart"/>
      <w:r>
        <w:t>Republika</w:t>
      </w:r>
      <w:proofErr w:type="spellEnd"/>
      <w:r>
        <w:t xml:space="preserve">, Detik.com, </w:t>
      </w:r>
      <w:proofErr w:type="spellStart"/>
      <w:r>
        <w:t>Kumparan</w:t>
      </w:r>
      <w:proofErr w:type="spellEnd"/>
      <w:r>
        <w:t xml:space="preserve">, </w:t>
      </w:r>
      <w:proofErr w:type="spellStart"/>
      <w:r>
        <w:t>tvOne</w:t>
      </w:r>
      <w:proofErr w:type="spellEnd"/>
      <w:r>
        <w:t xml:space="preserve">, and </w:t>
      </w:r>
      <w:proofErr w:type="spellStart"/>
      <w:r>
        <w:t>Eramuslim</w:t>
      </w:r>
      <w:proofErr w:type="spellEnd"/>
      <w:r>
        <w:t>, published between April and October 2024. The second layer is an official statement from a religious institution, especially the MUI Malang (10 points of irregularity that were officially released) and comments from PBNU.</w:t>
      </w:r>
    </w:p>
    <w:p w14:paraId="102B894F" w14:textId="77777777" w:rsidR="0088345E" w:rsidRDefault="0088345E" w:rsidP="00A748C4">
      <w:pPr>
        <w:pStyle w:val="07bodytext"/>
      </w:pPr>
      <w:r>
        <w:t>The selection of these sources is based on two criteria: (1) the source is publicly accessible with a verifiable URL, and (2) the source has explicitly responded to the reported claims. This is important to ensure that the constructed variables do not come from assumptions or speculation, but rather from a record of real public discourse.</w:t>
      </w:r>
    </w:p>
    <w:p w14:paraId="713F5205" w14:textId="53D31CE5" w:rsidR="0088345E" w:rsidRPr="00237B95" w:rsidRDefault="007F4628" w:rsidP="00237B95">
      <w:pPr>
        <w:pStyle w:val="07bodytext"/>
        <w:ind w:firstLine="0"/>
        <w:rPr>
          <w:b/>
          <w:bCs/>
        </w:rPr>
      </w:pPr>
      <w:r>
        <w:rPr>
          <w:b/>
          <w:bCs/>
        </w:rPr>
        <w:lastRenderedPageBreak/>
        <w:t>D</w:t>
      </w:r>
      <w:r w:rsidR="00237B95" w:rsidRPr="00237B95">
        <w:rPr>
          <w:b/>
          <w:bCs/>
        </w:rPr>
        <w:t xml:space="preserve">. </w:t>
      </w:r>
      <w:r w:rsidR="0088345E" w:rsidRPr="00237B95">
        <w:rPr>
          <w:b/>
          <w:bCs/>
        </w:rPr>
        <w:t>Dataset Construction</w:t>
      </w:r>
    </w:p>
    <w:p w14:paraId="253A7E1B" w14:textId="77777777" w:rsidR="0088345E" w:rsidRDefault="0088345E" w:rsidP="00A748C4">
      <w:pPr>
        <w:pStyle w:val="07bodytext"/>
      </w:pPr>
      <w:r>
        <w:t>The dataset is constructed in two layers that reflect the comparative structure:</w:t>
      </w:r>
    </w:p>
    <w:p w14:paraId="5004A80D" w14:textId="77777777" w:rsidR="0088345E" w:rsidRDefault="0088345E" w:rsidP="00A748C4">
      <w:pPr>
        <w:pStyle w:val="07bodytext"/>
      </w:pPr>
      <w:r>
        <w:t>Common foundation layer (20 variables): Variables that represent the basic beliefs of Islam that are very likely to be held by all Muslims, including the subject of the case study. The two parties who were compared got a score of 1 on this layer. The decision to include this layer is an important epistemological decision: it ensures that the model does not start from the assumption that the subject is an outsider, but rather acknowledges a shared foundation before examining differences.</w:t>
      </w:r>
    </w:p>
    <w:p w14:paraId="558CA79F" w14:textId="77777777" w:rsidR="0088345E" w:rsidRDefault="0088345E" w:rsidP="00F52894">
      <w:pPr>
        <w:pStyle w:val="07bodytext"/>
      </w:pPr>
      <w:r>
        <w:t>Controversial claims layer (37 variables): Variables constructed from specific claims reported by the media. Each variable is formulated as a positive norm — that is, the position that a person who follows mainstream teachings should hold — so that the Position of Mainstream Islam is always worth 1. The subject is valued at 0 on this variable because the reported claim contradicts the norm.</w:t>
      </w:r>
    </w:p>
    <w:p w14:paraId="10076F62" w14:textId="77777777" w:rsidR="0088345E" w:rsidRDefault="0088345E" w:rsidP="00F52894">
      <w:pPr>
        <w:pStyle w:val="07bodytext"/>
      </w:pPr>
      <w:r>
        <w:t>Example of variable formulation: the claim "claiming to be able to video call with the angel of death" is formulated into the variable "Not making unsubstantiated claims of supernatural communication" — with a value of a = 1 (the Mainstream Islamic position holds this norm) and a value of b = 0 (the subject's claim contradicts this norm).</w:t>
      </w:r>
    </w:p>
    <w:p w14:paraId="0848B64E" w14:textId="77777777" w:rsidR="0088345E" w:rsidRDefault="0088345E" w:rsidP="00F52894">
      <w:pPr>
        <w:pStyle w:val="07bodytext"/>
      </w:pPr>
      <w:r>
        <w:t>Each variable has documentation: the original claim text of the source, the name of the source, and the accessible URL. This allows readers to independently verify each variable-creation decision.</w:t>
      </w:r>
    </w:p>
    <w:p w14:paraId="68868E8C" w14:textId="0C41BC9B" w:rsidR="0088345E" w:rsidRPr="00237B95" w:rsidRDefault="007F4628" w:rsidP="00237B95">
      <w:pPr>
        <w:pStyle w:val="07bodytext"/>
        <w:ind w:firstLine="0"/>
        <w:rPr>
          <w:b/>
          <w:bCs/>
        </w:rPr>
      </w:pPr>
      <w:r>
        <w:rPr>
          <w:b/>
          <w:bCs/>
        </w:rPr>
        <w:t>E</w:t>
      </w:r>
      <w:r w:rsidR="00237B95" w:rsidRPr="00237B95">
        <w:rPr>
          <w:b/>
          <w:bCs/>
        </w:rPr>
        <w:t xml:space="preserve">. </w:t>
      </w:r>
      <w:r w:rsidR="0088345E" w:rsidRPr="00237B95">
        <w:rPr>
          <w:b/>
          <w:bCs/>
        </w:rPr>
        <w:t>Binary Representations and Their Justifications</w:t>
      </w:r>
    </w:p>
    <w:p w14:paraId="0D178441" w14:textId="77777777" w:rsidR="0088345E" w:rsidRDefault="0088345E" w:rsidP="00F52894">
      <w:pPr>
        <w:pStyle w:val="07bodytext"/>
      </w:pPr>
      <w:r>
        <w:t xml:space="preserve">The use of binary values 0 and 1 is a conscious simplification. He abstracts the nuances, contexts, and gradations that exist in each claim. The justifications for its use are pragmatic and epistemological: pragmatic because it allows for reproducible cosine similarity calculations, and epistemological because it forces dataset creators to make explicit decisions about each </w:t>
      </w:r>
      <w:r>
        <w:lastRenderedPageBreak/>
        <w:t>variable rather than leaving them ambiguous. In this sense, binary limitations are precisely a methodological force: any ambiguity must be resolved explicitly and arguably.</w:t>
      </w:r>
    </w:p>
    <w:p w14:paraId="681CCD3C" w14:textId="15EE0C7A" w:rsidR="00237B95" w:rsidRDefault="007F4628" w:rsidP="00237B95">
      <w:pPr>
        <w:pStyle w:val="07bodytext"/>
        <w:ind w:firstLine="0"/>
        <w:rPr>
          <w:b/>
          <w:bCs/>
        </w:rPr>
      </w:pPr>
      <w:r>
        <w:rPr>
          <w:b/>
          <w:bCs/>
        </w:rPr>
        <w:t>F</w:t>
      </w:r>
      <w:r w:rsidR="00BF7FF2" w:rsidRPr="00237B95">
        <w:rPr>
          <w:b/>
          <w:bCs/>
        </w:rPr>
        <w:t xml:space="preserve">. </w:t>
      </w:r>
      <w:r w:rsidR="0088345E" w:rsidRPr="00237B95">
        <w:rPr>
          <w:b/>
          <w:bCs/>
        </w:rPr>
        <w:t>Mathematical Foundations: Why Cosine Similarity</w:t>
      </w:r>
      <w:r w:rsidR="00237B95">
        <w:rPr>
          <w:b/>
          <w:bCs/>
        </w:rPr>
        <w:t xml:space="preserve"> </w:t>
      </w:r>
    </w:p>
    <w:p w14:paraId="247933D2" w14:textId="52DC4A57" w:rsidR="0088345E" w:rsidRPr="00237B95" w:rsidRDefault="0088345E" w:rsidP="00237B95">
      <w:pPr>
        <w:pStyle w:val="07bodytext"/>
        <w:rPr>
          <w:b/>
          <w:bCs/>
        </w:rPr>
      </w:pPr>
      <w:r>
        <w:t>Cosine similarity measures the similarity between two vectors by calculating the cosine angle between them. For the two vectors a and b in n-dimensional space, the formula is:</w:t>
      </w:r>
    </w:p>
    <w:p w14:paraId="44F4BBEA" w14:textId="77777777" w:rsidR="00237B95" w:rsidRDefault="00000000" w:rsidP="00237B95">
      <w:pPr>
        <w:pStyle w:val="07bodytext"/>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θ</m:t>
                  </m:r>
                </m:e>
              </m:d>
            </m:e>
          </m:func>
          <m:r>
            <m:rPr>
              <m:sty m:val="p"/>
            </m:rPr>
            <w:rPr>
              <w:rFonts w:ascii="Cambria Math" w:hAnsi="Cambria Math"/>
            </w:rPr>
            <m:t>=</m:t>
          </m:r>
          <m:f>
            <m:fPr>
              <m:ctrlPr>
                <w:rPr>
                  <w:rFonts w:ascii="Cambria Math" w:hAnsi="Cambria Math"/>
                  <w:b/>
                  <w:bCs/>
                </w:rPr>
              </m:ctrlPr>
            </m:fPr>
            <m:num>
              <m:r>
                <m:rPr>
                  <m:sty m:val="b"/>
                </m:rPr>
                <w:rPr>
                  <w:rFonts w:ascii="Cambria Math" w:hAnsi="Cambria Math"/>
                </w:rPr>
                <m:t>a⋅b</m:t>
              </m:r>
            </m:num>
            <m:den>
              <m:r>
                <m:rPr>
                  <m:sty m:val="b"/>
                </m:rPr>
                <w:rPr>
                  <w:rFonts w:ascii="Cambria Math" w:hAnsi="Cambria Math"/>
                </w:rPr>
                <m:t>∥a∥∥b∥</m:t>
              </m:r>
            </m:den>
          </m:f>
        </m:oMath>
      </m:oMathPara>
    </w:p>
    <w:p w14:paraId="3C6CE9E6" w14:textId="28D9C203" w:rsidR="0088345E" w:rsidRDefault="0088345E" w:rsidP="00237B95">
      <w:pPr>
        <w:pStyle w:val="07bodytext"/>
      </w:pPr>
      <w:r>
        <w:t>where a · b is the dot product (point multiplication) of the two vectors, and ‖a‖ and ‖b‖ are the Euclidean norms of each vector.</w:t>
      </w:r>
    </w:p>
    <w:p w14:paraId="51FE35FE" w14:textId="77777777" w:rsidR="0088345E" w:rsidRDefault="0088345E" w:rsidP="00053EDF">
      <w:pPr>
        <w:pStyle w:val="07bodytext"/>
      </w:pPr>
      <w:r>
        <w:t>For binary data, the dot product only produces a positive value when both corresponding elements are worth 1. When either or both are worth 0, its contribution to the dot product is zero. This means that cosine similarity does not count zero-zero matches as evidence of similarity—a property that is crucial for this context. Two subjects who are both deprived of a belief should not be considered more alike simply because of the absence.</w:t>
      </w:r>
    </w:p>
    <w:p w14:paraId="206A427E" w14:textId="77777777" w:rsidR="0088345E" w:rsidRDefault="0088345E" w:rsidP="00053EDF">
      <w:pPr>
        <w:pStyle w:val="07bodytext"/>
      </w:pPr>
      <w:r>
        <w:t>This property distinguishes cosine similarity from simple distance metrics such as simple matching coefficient (SMC), which treats a null value match equal to a one-value match. In the context of religious claims, this distinction is substantive: two entities that have both never climbed Mount Everest have not become more similar due to the absence of such experiences.</w:t>
      </w:r>
    </w:p>
    <w:p w14:paraId="2785A0DC" w14:textId="7C99BA70" w:rsidR="0088345E" w:rsidRPr="00237B95" w:rsidRDefault="007F4628" w:rsidP="00237B95">
      <w:pPr>
        <w:pStyle w:val="07bodytext"/>
        <w:ind w:firstLine="0"/>
        <w:rPr>
          <w:b/>
          <w:bCs/>
        </w:rPr>
      </w:pPr>
      <w:r>
        <w:rPr>
          <w:b/>
          <w:bCs/>
        </w:rPr>
        <w:t>G</w:t>
      </w:r>
      <w:r w:rsidR="00237B95" w:rsidRPr="00237B95">
        <w:rPr>
          <w:b/>
          <w:bCs/>
        </w:rPr>
        <w:t xml:space="preserve">. </w:t>
      </w:r>
      <w:r w:rsidR="0088345E" w:rsidRPr="00237B95">
        <w:rPr>
          <w:b/>
          <w:bCs/>
        </w:rPr>
        <w:t>Calculations for Mama Ghufron's Case</w:t>
      </w:r>
    </w:p>
    <w:p w14:paraId="4C78DD88" w14:textId="77777777" w:rsidR="0088345E" w:rsidRDefault="0088345E" w:rsidP="00237B95">
      <w:pPr>
        <w:pStyle w:val="07bodytext"/>
      </w:pPr>
      <w:r>
        <w:t>With a dataset of 57 variables that have been constructed, the calculation can be done as follows.</w:t>
      </w:r>
    </w:p>
    <w:p w14:paraId="141E6054" w14:textId="77777777" w:rsidR="0088345E" w:rsidRDefault="0088345E" w:rsidP="005174FF">
      <w:pPr>
        <w:pStyle w:val="07bodytext"/>
      </w:pPr>
      <w:r>
        <w:t>Dot product (a · b): Dot product has only a positive value where both vectors are worth 1. This only happens on 20 common foundation variables. In the 37 variables of the controversial claim, vector a is worth 1 but vector b is worth 0, so the contribution is zero. Thus:</w:t>
      </w:r>
    </w:p>
    <w:p w14:paraId="14245C8A" w14:textId="0EE8B857" w:rsidR="0088345E" w:rsidRDefault="00020211" w:rsidP="0088345E">
      <w:pPr>
        <w:pStyle w:val="07bodytext"/>
      </w:pPr>
      <m:oMathPara>
        <m:oMath>
          <m:r>
            <m:rPr>
              <m:sty m:val="bi"/>
            </m:rPr>
            <w:rPr>
              <w:rFonts w:ascii="Cambria Math" w:hAnsi="Cambria Math"/>
            </w:rPr>
            <m:t>a⋅b</m:t>
          </m:r>
          <m:r>
            <w:rPr>
              <w:rFonts w:ascii="Cambria Math" w:hAnsi="Cambria Math"/>
            </w:rPr>
            <m:t>=20</m:t>
          </m:r>
        </m:oMath>
      </m:oMathPara>
    </w:p>
    <w:p w14:paraId="6B4AB83A" w14:textId="4068DA21" w:rsidR="0088345E" w:rsidRDefault="0088345E" w:rsidP="00AC43E8">
      <w:pPr>
        <w:pStyle w:val="07bodytext"/>
      </w:pPr>
      <w:r>
        <w:lastRenderedPageBreak/>
        <w:t>Vector norm a: Vector a (Mainstream Islamic Position) is worth 1 on all 57 variables because it holds all the norms listed:</w:t>
      </w:r>
      <w:r w:rsidR="00BF7FF2">
        <w:t xml:space="preserve"> </w:t>
      </w:r>
    </w:p>
    <w:p w14:paraId="3ADA208A" w14:textId="342C79FD" w:rsidR="0088345E" w:rsidRDefault="00020211" w:rsidP="0088345E">
      <w:pPr>
        <w:pStyle w:val="07bodytext"/>
      </w:pPr>
      <m:oMathPara>
        <m:oMath>
          <m:r>
            <w:rPr>
              <w:rFonts w:ascii="Cambria Math" w:hAnsi="Cambria Math"/>
            </w:rPr>
            <m:t>∥</m:t>
          </m:r>
          <m:r>
            <m:rPr>
              <m:sty m:val="b"/>
            </m:rPr>
            <w:rPr>
              <w:rFonts w:ascii="Cambria Math" w:hAnsi="Cambria Math"/>
            </w:rPr>
            <m:t>a</m:t>
          </m:r>
          <m:r>
            <w:rPr>
              <w:rFonts w:ascii="Cambria Math" w:hAnsi="Cambria Math"/>
            </w:rPr>
            <m:t>∥=√57≈7,5498</m:t>
          </m:r>
        </m:oMath>
      </m:oMathPara>
    </w:p>
    <w:p w14:paraId="51DEC26D" w14:textId="77777777" w:rsidR="0088345E" w:rsidRDefault="0088345E" w:rsidP="00506FD4">
      <w:pPr>
        <w:pStyle w:val="07bodytext"/>
      </w:pPr>
      <w:r>
        <w:t>Vector norm b: Vector b (subject claim profile) is worth 1 on only 20 foundation variables:</w:t>
      </w:r>
    </w:p>
    <w:p w14:paraId="0C08D2C4" w14:textId="1687C98C" w:rsidR="0088345E" w:rsidRDefault="00020211" w:rsidP="0088345E">
      <w:pPr>
        <w:pStyle w:val="07bodytext"/>
      </w:pPr>
      <m:oMathPara>
        <m:oMath>
          <m:r>
            <w:rPr>
              <w:rFonts w:ascii="Cambria Math" w:hAnsi="Cambria Math"/>
            </w:rPr>
            <m:t>∥</m:t>
          </m:r>
          <m:r>
            <m:rPr>
              <m:sty m:val="bi"/>
            </m:rPr>
            <w:rPr>
              <w:rFonts w:ascii="Cambria Math" w:hAnsi="Cambria Math"/>
            </w:rPr>
            <m:t>b</m:t>
          </m:r>
          <m:r>
            <w:rPr>
              <w:rFonts w:ascii="Cambria Math" w:hAnsi="Cambria Math"/>
            </w:rPr>
            <m:t>∥=√20≈4,4721</m:t>
          </m:r>
        </m:oMath>
      </m:oMathPara>
    </w:p>
    <w:p w14:paraId="498A6632" w14:textId="77777777" w:rsidR="0088345E" w:rsidRDefault="0088345E" w:rsidP="0088345E">
      <w:pPr>
        <w:pStyle w:val="07bodytext"/>
      </w:pPr>
      <w:r>
        <w:t>Cosine similarity:</w:t>
      </w:r>
    </w:p>
    <w:p w14:paraId="5D7F6075" w14:textId="2A15E241" w:rsidR="0088345E" w:rsidRDefault="00020211" w:rsidP="0088345E">
      <w:pPr>
        <w:pStyle w:val="07bodytext"/>
      </w:pPr>
      <m:oMathPara>
        <m:oMath>
          <m:r>
            <w:rPr>
              <w:rFonts w:ascii="Cambria Math" w:hAnsi="Cambria Math"/>
            </w:rPr>
            <m:t>cos(θ)=20/(√57×√20)=20/√1140≈0,5923</m:t>
          </m:r>
        </m:oMath>
      </m:oMathPara>
    </w:p>
    <w:p w14:paraId="43F22510" w14:textId="77777777" w:rsidR="0088345E" w:rsidRDefault="0088345E" w:rsidP="00695055">
      <w:pPr>
        <w:pStyle w:val="07bodytext"/>
      </w:pPr>
      <w:r>
        <w:t>Vector angle:</w:t>
      </w:r>
    </w:p>
    <w:p w14:paraId="0C8EC4C1" w14:textId="4DD7B835" w:rsidR="0088345E" w:rsidRPr="00020211" w:rsidRDefault="00020211" w:rsidP="0088345E">
      <w:pPr>
        <w:pStyle w:val="07bodytext"/>
        <w:rPr>
          <w:iCs/>
        </w:rPr>
      </w:pPr>
      <m:oMathPara>
        <m:oMath>
          <m:r>
            <m:rPr>
              <m:sty m:val="p"/>
            </m:rPr>
            <w:rPr>
              <w:rFonts w:ascii="Cambria Math" w:hAnsi="Cambria Math"/>
            </w:rPr>
            <m:t>θ=arccos(0,5923)≈53,7°</m:t>
          </m:r>
        </m:oMath>
      </m:oMathPara>
    </w:p>
    <w:p w14:paraId="3EE5F090" w14:textId="77777777" w:rsidR="0088345E" w:rsidRDefault="0088345E" w:rsidP="00C22F7A">
      <w:pPr>
        <w:pStyle w:val="07bodytext"/>
      </w:pPr>
      <w:r>
        <w:t>These results place the subject's claim profile in the "Away" zone in the interpretation scale used, where the zones are defined as: Very Close (≥0.9), Fairly Close (≥0.75), Problematic (≥0.6), Far (≥0.4), and Very Far (&lt;0.4).</w:t>
      </w:r>
    </w:p>
    <w:p w14:paraId="25859B15" w14:textId="78935BB5" w:rsidR="0088345E" w:rsidRPr="00237B95" w:rsidRDefault="007F4628" w:rsidP="00237B95">
      <w:pPr>
        <w:pStyle w:val="07bodytext"/>
        <w:ind w:firstLine="0"/>
        <w:rPr>
          <w:b/>
          <w:bCs/>
        </w:rPr>
      </w:pPr>
      <w:r>
        <w:rPr>
          <w:b/>
          <w:bCs/>
        </w:rPr>
        <w:t>H</w:t>
      </w:r>
      <w:r w:rsidR="00237B95" w:rsidRPr="00237B95">
        <w:rPr>
          <w:b/>
          <w:bCs/>
        </w:rPr>
        <w:t xml:space="preserve">. </w:t>
      </w:r>
      <w:r w:rsidR="0088345E" w:rsidRPr="00237B95">
        <w:rPr>
          <w:b/>
          <w:bCs/>
        </w:rPr>
        <w:t>Reading the Numbers: What It Says</w:t>
      </w:r>
    </w:p>
    <w:p w14:paraId="292F6941" w14:textId="77777777" w:rsidR="0088345E" w:rsidRDefault="0088345E" w:rsidP="0026137B">
      <w:pPr>
        <w:pStyle w:val="07bodytext"/>
      </w:pPr>
      <w:r>
        <w:t>The value of 0.5923 tells two things simultaneously. First, he confirms the existence of a substantial common foundation: 20 variables with full match represent a significant proportion of the total 57 variables. Second, he showed that in the 37 variables born from specific claims reported by the media, there were systematic differences large enough to lower the similarity score to the "Far zone".</w:t>
      </w:r>
    </w:p>
    <w:p w14:paraId="1AE5A3F4" w14:textId="77777777" w:rsidR="0088345E" w:rsidRDefault="0088345E" w:rsidP="0026137B">
      <w:pPr>
        <w:pStyle w:val="07bodytext"/>
      </w:pPr>
      <w:r>
        <w:t>What is important to pay attention to is the information hidden behind this single number. The difference between a score of 0.59 and a score of 0.20 is not just a matter of magnitude — it reflects a completely different structure of differences. The score of 0.59 in this case was born from a large common foundation (20 variables) that was "reduced" by an equally large difference (37 variables). While the same score in other hypothetical cases could be born from a completely different pattern. The same number doesn't necessarily tell the same story.</w:t>
      </w:r>
    </w:p>
    <w:p w14:paraId="76CF8A19" w14:textId="49685181" w:rsidR="0088345E" w:rsidRPr="00237B95" w:rsidRDefault="007F4628" w:rsidP="00237B95">
      <w:pPr>
        <w:pStyle w:val="07bodytext"/>
        <w:ind w:firstLine="0"/>
        <w:rPr>
          <w:b/>
          <w:bCs/>
        </w:rPr>
      </w:pPr>
      <w:r>
        <w:rPr>
          <w:b/>
          <w:bCs/>
        </w:rPr>
        <w:t>I</w:t>
      </w:r>
      <w:r w:rsidR="00237B95" w:rsidRPr="00237B95">
        <w:rPr>
          <w:b/>
          <w:bCs/>
        </w:rPr>
        <w:t xml:space="preserve">. </w:t>
      </w:r>
      <w:r w:rsidR="0088345E" w:rsidRPr="00237B95">
        <w:rPr>
          <w:b/>
          <w:bCs/>
        </w:rPr>
        <w:t>Visualization as a Complement to Calculation</w:t>
      </w:r>
    </w:p>
    <w:p w14:paraId="12F1E5B5" w14:textId="77777777" w:rsidR="0088345E" w:rsidRDefault="0088345E" w:rsidP="0026137B">
      <w:pPr>
        <w:pStyle w:val="07bodytext"/>
      </w:pPr>
      <w:r>
        <w:lastRenderedPageBreak/>
        <w:t>To help with a more intuitive reading, the project on which this article is based also provides interactive radial maps. The radial map places the Mainstream Islamic Position at the central point, and visualizes the subject's position as a point in two-dimensional space whose distance from the center represents the cosine distance. The five concentric zones (Very Close to Very Far Away) provide an instantly readable visual context without the need to check the numbers.</w:t>
      </w:r>
    </w:p>
    <w:p w14:paraId="650617B6" w14:textId="77777777" w:rsidR="0088345E" w:rsidRDefault="0088345E" w:rsidP="0026137B">
      <w:pPr>
        <w:pStyle w:val="07bodytext"/>
      </w:pPr>
      <w:r>
        <w:t>This visualization is not a decoration. It is part of the epistemological argument of this article: that transparency requires not only data openness, but also accessibility of presentation. A map that can be read by journalists, students, and ordinary citizens has a different epistemic value than a table of numbers that only statisticians can read.</w:t>
      </w:r>
    </w:p>
    <w:p w14:paraId="35C87B7B" w14:textId="5407A70D" w:rsidR="0088345E" w:rsidRPr="00237B95" w:rsidRDefault="007F4628" w:rsidP="00237B95">
      <w:pPr>
        <w:pStyle w:val="07bodytext"/>
        <w:ind w:firstLine="0"/>
        <w:rPr>
          <w:b/>
          <w:bCs/>
        </w:rPr>
      </w:pPr>
      <w:r>
        <w:rPr>
          <w:b/>
          <w:bCs/>
        </w:rPr>
        <w:t>J</w:t>
      </w:r>
      <w:r w:rsidR="00237B95" w:rsidRPr="00237B95">
        <w:rPr>
          <w:b/>
          <w:bCs/>
        </w:rPr>
        <w:t xml:space="preserve">. </w:t>
      </w:r>
      <w:r w:rsidR="0088345E" w:rsidRPr="00237B95">
        <w:rPr>
          <w:b/>
          <w:bCs/>
        </w:rPr>
        <w:t>Construct of Variables as Epistemic Decisions</w:t>
      </w:r>
    </w:p>
    <w:p w14:paraId="6735F9C5" w14:textId="77777777" w:rsidR="0088345E" w:rsidRDefault="0088345E" w:rsidP="0026137B">
      <w:pPr>
        <w:pStyle w:val="07bodytext"/>
      </w:pPr>
      <w:r>
        <w:t>The most important — and most often overlooked — part of this whole approach is the process of constructing the variables themselves. Each variable in the dataset is the result of human decision: decisions about which claims are sufficiently documented to include, how to formulate variables neutrally, and from which sources those claims are taken.</w:t>
      </w:r>
    </w:p>
    <w:p w14:paraId="5EA6761A" w14:textId="77777777" w:rsidR="0088345E" w:rsidRDefault="0088345E" w:rsidP="00700FE1">
      <w:pPr>
        <w:pStyle w:val="07bodytext"/>
      </w:pPr>
      <w:r>
        <w:t>These decisions cannot be completely free from subjective considerations. The choice to formulate the variable as a positive norm ("Not claiming direct communication with the grave angel") rather than a negative statement ("Claiming direct communication with the grave angel") is a rhetorical choice that has mathematical consequences: it determines which side is by default worth 1 and which side is worth 0.</w:t>
      </w:r>
    </w:p>
    <w:p w14:paraId="330DB736" w14:textId="77777777" w:rsidR="0088345E" w:rsidRDefault="0088345E" w:rsidP="00700FE1">
      <w:pPr>
        <w:pStyle w:val="07bodytext"/>
      </w:pPr>
      <w:r>
        <w:t xml:space="preserve">It is precisely because these limitations are inherent and cannot be eliminated, that the openness of the process becomes the main accountability mechanism. Because each variable is explicitly recorded along with its source, anyone can question the decision to make it, propose an alternative formulation, or question the feasibility of a source. Open debates about </w:t>
      </w:r>
      <w:r>
        <w:lastRenderedPageBreak/>
        <w:t>variables are far more epistemologically productive than debates whose assumptions are never disclosed.</w:t>
      </w:r>
    </w:p>
    <w:p w14:paraId="303A5E72" w14:textId="5C39F3EC" w:rsidR="0088345E" w:rsidRPr="00237B95" w:rsidRDefault="007F4628" w:rsidP="00237B95">
      <w:pPr>
        <w:pStyle w:val="07bodytext"/>
        <w:ind w:firstLine="0"/>
        <w:rPr>
          <w:b/>
          <w:bCs/>
        </w:rPr>
      </w:pPr>
      <w:r>
        <w:rPr>
          <w:b/>
          <w:bCs/>
        </w:rPr>
        <w:t>K</w:t>
      </w:r>
      <w:r w:rsidR="00237B95" w:rsidRPr="00237B95">
        <w:rPr>
          <w:b/>
          <w:bCs/>
        </w:rPr>
        <w:t xml:space="preserve">. </w:t>
      </w:r>
      <w:r w:rsidR="0088345E" w:rsidRPr="00237B95">
        <w:rPr>
          <w:b/>
          <w:bCs/>
        </w:rPr>
        <w:t>The Limits of Approach: What Numbers Can't Tell</w:t>
      </w:r>
    </w:p>
    <w:p w14:paraId="4A460E5C" w14:textId="77777777" w:rsidR="0088345E" w:rsidRDefault="0088345E" w:rsidP="00700FE1">
      <w:pPr>
        <w:pStyle w:val="07bodytext"/>
      </w:pPr>
      <w:r>
        <w:t>This section is the most crucial in this article, and at the same time the most often missed in the discussion of the application of formal methods to the humanistic domain.</w:t>
      </w:r>
    </w:p>
    <w:p w14:paraId="7CA1BC2E" w14:textId="77777777" w:rsidR="0088345E" w:rsidRDefault="0088345E" w:rsidP="00700FE1">
      <w:pPr>
        <w:pStyle w:val="07bodytext"/>
      </w:pPr>
      <w:r>
        <w:t xml:space="preserve">First, this figure is not a theological verdict. The value of 0.5923 measures the distance between two sets of positions encoded in 57 binary variables based on the selected sources at any given time. It does not state whether the subject is misguided, not misguided, worthy of criticism, or worthy of defending. These questions are theological questions that require expertise in the science of interpretation, hadith, kalam, and </w:t>
      </w:r>
      <w:proofErr w:type="spellStart"/>
      <w:r>
        <w:t>ushul</w:t>
      </w:r>
      <w:proofErr w:type="spellEnd"/>
      <w:r>
        <w:t xml:space="preserve"> </w:t>
      </w:r>
      <w:proofErr w:type="spellStart"/>
      <w:r>
        <w:t>fiqh</w:t>
      </w:r>
      <w:proofErr w:type="spellEnd"/>
      <w:r>
        <w:t>—domains that binary vectors simply cannot handle.</w:t>
      </w:r>
    </w:p>
    <w:p w14:paraId="63BD2BF7" w14:textId="77777777" w:rsidR="0088345E" w:rsidRDefault="0088345E" w:rsidP="00700FE1">
      <w:pPr>
        <w:pStyle w:val="07bodytext"/>
      </w:pPr>
      <w:r>
        <w:t>Second, variables are human decisions. If the dataset is constructed with a different choice of variables—for example, by including variables that support the subject, or with different weights for different types of claims—the results will be different. This is not a fatal flaw of the methodology, but rather because every methodology has assumptions. What sets it apart from other approaches is that these assumptions are explicit and debatable.</w:t>
      </w:r>
    </w:p>
    <w:p w14:paraId="47CC03E6" w14:textId="77777777" w:rsidR="0088345E" w:rsidRDefault="0088345E" w:rsidP="00975A6B">
      <w:pPr>
        <w:pStyle w:val="07bodytext"/>
      </w:pPr>
      <w:r>
        <w:t>Third, it's a snapshot, not a movie. The dataset records the claims that are in circulation and reported over a given period of time. If the subject then substantially retracts or revises those claims, the dataset should be updated and the numbers will change. Cosine similarity does not record history; He took a picture of a moment.</w:t>
      </w:r>
    </w:p>
    <w:p w14:paraId="78BE7248" w14:textId="11E55E91" w:rsidR="0088345E" w:rsidRDefault="0088345E" w:rsidP="00975A6B">
      <w:pPr>
        <w:pStyle w:val="07bodytext"/>
      </w:pPr>
      <w:r>
        <w:t xml:space="preserve">Fourth, humans cannot be reduced to vectors. This is the most basic limitation. Every individual—including anyone who is the subject of this kind of analysis—is a complex human being with life journeys, social contexts, intentions, and dimensions of humanity that no number can capture. Wittgenstein (2009) reminds that the meaning of a statement cannot be </w:t>
      </w:r>
      <w:r>
        <w:lastRenderedPageBreak/>
        <w:t>separated from the context of its use (</w:t>
      </w:r>
      <w:proofErr w:type="spellStart"/>
      <w:r>
        <w:t>Lebensform</w:t>
      </w:r>
      <w:proofErr w:type="spellEnd"/>
      <w:r>
        <w:t>).</w:t>
      </w:r>
      <w:r w:rsidR="00434CAE">
        <w:rPr>
          <w:rStyle w:val="ReferensiCatatanKaki"/>
        </w:rPr>
        <w:footnoteReference w:id="14"/>
      </w:r>
      <w:r>
        <w:t xml:space="preserve"> The binary representation of a claim abstracts that context, and that abstraction is always a partial loss of meaning.</w:t>
      </w:r>
    </w:p>
    <w:p w14:paraId="3D332B4B" w14:textId="77777777" w:rsidR="0088345E" w:rsidRDefault="0088345E" w:rsidP="00975A6B">
      <w:pPr>
        <w:pStyle w:val="07bodytext"/>
      </w:pPr>
      <w:r>
        <w:t>Acknowledging these limitations is not a sign of a methodological weakness, but rather a sign of its integrity. A tool that knows the limits of its capabilities can be used responsibly. A tool that claims to be versatile is actually dangerous.</w:t>
      </w:r>
    </w:p>
    <w:p w14:paraId="660CE7B1" w14:textId="2383B5E5" w:rsidR="00237B95" w:rsidRDefault="007F4628" w:rsidP="00237B95">
      <w:pPr>
        <w:pStyle w:val="06Heading1"/>
      </w:pPr>
      <w:r>
        <w:t>L</w:t>
      </w:r>
      <w:r w:rsidR="00E446E9">
        <w:t xml:space="preserve">. </w:t>
      </w:r>
      <w:r w:rsidR="007E7856">
        <w:t xml:space="preserve">Conclusion </w:t>
      </w:r>
    </w:p>
    <w:p w14:paraId="5A5BCEA7" w14:textId="55AA77EE" w:rsidR="007E7856" w:rsidRPr="00237B95" w:rsidRDefault="007E7856" w:rsidP="00237B95">
      <w:pPr>
        <w:pStyle w:val="06Heading1"/>
        <w:ind w:left="0" w:firstLine="284"/>
      </w:pPr>
      <w:r w:rsidRPr="007E7856">
        <w:rPr>
          <w:b w:val="0"/>
        </w:rPr>
        <w:t>This article has demonstrated that cosine similarity to the binary</w:t>
      </w:r>
      <w:r w:rsidR="00237B95">
        <w:rPr>
          <w:b w:val="0"/>
        </w:rPr>
        <w:t xml:space="preserve"> </w:t>
      </w:r>
      <w:r w:rsidRPr="007E7856">
        <w:rPr>
          <w:b w:val="0"/>
        </w:rPr>
        <w:t>representation of religious claims can serve as a valid epistemic scaffold in public theological discourse—provided it is understood and used to the best of its ability. It is not a substitute for theological judgment, but rather a complement that offers something that is rarely present in religious discourse: the transparency of the premises, the reproducibility of calculations, and the accessibility of interpretation.</w:t>
      </w:r>
    </w:p>
    <w:p w14:paraId="0F13C57F" w14:textId="77777777" w:rsidR="007E7856" w:rsidRPr="007E7856" w:rsidRDefault="007E7856" w:rsidP="00237B95">
      <w:pPr>
        <w:pStyle w:val="06Heading1"/>
        <w:ind w:left="0" w:firstLine="284"/>
        <w:rPr>
          <w:b w:val="0"/>
        </w:rPr>
      </w:pPr>
      <w:r w:rsidRPr="007E7856">
        <w:rPr>
          <w:b w:val="0"/>
        </w:rPr>
        <w:t xml:space="preserve">From the point of view of </w:t>
      </w:r>
      <w:r w:rsidRPr="00237B95">
        <w:rPr>
          <w:bCs/>
        </w:rPr>
        <w:t>the philosophy of science</w:t>
      </w:r>
      <w:r w:rsidRPr="007E7856">
        <w:rPr>
          <w:b w:val="0"/>
        </w:rPr>
        <w:t>, this article contributes to the understanding that mathematical formalization can be applied to the non-scientific domain not to turn it into a science in the Popperian sense, but rather to borrow the structure of scientific transparency—the explicitness of assumptions, the verifiability of sources, the reproducibility of procedures—into the domain that requires it.</w:t>
      </w:r>
    </w:p>
    <w:p w14:paraId="048C510A" w14:textId="77777777" w:rsidR="007E7856" w:rsidRPr="007E7856" w:rsidRDefault="007E7856" w:rsidP="00237B95">
      <w:pPr>
        <w:pStyle w:val="06Heading1"/>
        <w:ind w:left="0" w:firstLine="284"/>
        <w:rPr>
          <w:b w:val="0"/>
        </w:rPr>
      </w:pPr>
      <w:r w:rsidRPr="007E7856">
        <w:rPr>
          <w:b w:val="0"/>
        </w:rPr>
        <w:t xml:space="preserve">From the point of view of applied </w:t>
      </w:r>
      <w:r w:rsidRPr="00237B95">
        <w:rPr>
          <w:bCs/>
        </w:rPr>
        <w:t>mathematics</w:t>
      </w:r>
      <w:r w:rsidRPr="007E7856">
        <w:rPr>
          <w:b w:val="0"/>
        </w:rPr>
        <w:t>, this article shows that cosine similarity has uses that go beyond the domain of text computing. Its property of not counting zero-zero matches makes it an inherently precise tool for binary data with asymmetric meanings, as is the representation of doctrinal positions.</w:t>
      </w:r>
    </w:p>
    <w:p w14:paraId="160D8D14" w14:textId="77777777" w:rsidR="007E7856" w:rsidRPr="007E7856" w:rsidRDefault="007E7856" w:rsidP="00237B95">
      <w:pPr>
        <w:pStyle w:val="06Heading1"/>
        <w:ind w:left="0" w:firstLine="284"/>
        <w:rPr>
          <w:b w:val="0"/>
        </w:rPr>
      </w:pPr>
      <w:r w:rsidRPr="007E7856">
        <w:rPr>
          <w:b w:val="0"/>
        </w:rPr>
        <w:lastRenderedPageBreak/>
        <w:t xml:space="preserve">From the point of view of </w:t>
      </w:r>
      <w:r w:rsidRPr="00237B95">
        <w:rPr>
          <w:bCs/>
        </w:rPr>
        <w:t>Islamic epistemology</w:t>
      </w:r>
      <w:r w:rsidRPr="007E7856">
        <w:rPr>
          <w:b w:val="0"/>
        </w:rPr>
        <w:t xml:space="preserve">, this article shows that the spirit of </w:t>
      </w:r>
      <w:proofErr w:type="spellStart"/>
      <w:r w:rsidRPr="007E7856">
        <w:rPr>
          <w:b w:val="0"/>
        </w:rPr>
        <w:t>jarh</w:t>
      </w:r>
      <w:proofErr w:type="spellEnd"/>
      <w:r w:rsidRPr="007E7856">
        <w:rPr>
          <w:b w:val="0"/>
        </w:rPr>
        <w:t xml:space="preserve"> </w:t>
      </w:r>
      <w:proofErr w:type="spellStart"/>
      <w:r w:rsidRPr="007E7856">
        <w:rPr>
          <w:b w:val="0"/>
        </w:rPr>
        <w:t>wa</w:t>
      </w:r>
      <w:proofErr w:type="spellEnd"/>
      <w:r w:rsidRPr="007E7856">
        <w:rPr>
          <w:b w:val="0"/>
        </w:rPr>
        <w:t xml:space="preserve"> </w:t>
      </w:r>
      <w:proofErr w:type="spellStart"/>
      <w:r w:rsidRPr="007E7856">
        <w:rPr>
          <w:b w:val="0"/>
        </w:rPr>
        <w:t>ta'dil</w:t>
      </w:r>
      <w:proofErr w:type="spellEnd"/>
      <w:r w:rsidRPr="007E7856">
        <w:rPr>
          <w:b w:val="0"/>
        </w:rPr>
        <w:t xml:space="preserve"> — a systematic assessment based on explicit criteria — can be continued with a different medium in the context of modern public discourse. Mathematics here is not a threat to the </w:t>
      </w:r>
      <w:proofErr w:type="spellStart"/>
      <w:r w:rsidRPr="007E7856">
        <w:rPr>
          <w:b w:val="0"/>
        </w:rPr>
        <w:t>naql</w:t>
      </w:r>
      <w:proofErr w:type="spellEnd"/>
      <w:r w:rsidRPr="007E7856">
        <w:rPr>
          <w:b w:val="0"/>
        </w:rPr>
        <w:t xml:space="preserve"> authority, but a form of operationalization of '</w:t>
      </w:r>
      <w:proofErr w:type="spellStart"/>
      <w:r w:rsidRPr="007E7856">
        <w:rPr>
          <w:b w:val="0"/>
        </w:rPr>
        <w:t>aql</w:t>
      </w:r>
      <w:proofErr w:type="spellEnd"/>
      <w:r w:rsidRPr="007E7856">
        <w:rPr>
          <w:b w:val="0"/>
        </w:rPr>
        <w:t xml:space="preserve"> in the task of helping the public think more clearly.</w:t>
      </w:r>
    </w:p>
    <w:p w14:paraId="20EA04B2" w14:textId="77777777" w:rsidR="007E7856" w:rsidRPr="007E7856" w:rsidRDefault="007E7856" w:rsidP="00237B95">
      <w:pPr>
        <w:pStyle w:val="06Heading1"/>
        <w:ind w:left="0" w:firstLine="284"/>
        <w:rPr>
          <w:b w:val="0"/>
        </w:rPr>
      </w:pPr>
      <w:r w:rsidRPr="007E7856">
        <w:rPr>
          <w:b w:val="0"/>
        </w:rPr>
        <w:t xml:space="preserve">Further research can expand this approach in several directions: (1) the development of variable weighting schemes based on scientific consensus (weighted cosine similarity), (2) </w:t>
      </w:r>
      <w:proofErr w:type="spellStart"/>
      <w:r w:rsidRPr="007E7856">
        <w:rPr>
          <w:b w:val="0"/>
        </w:rPr>
        <w:t>multicase</w:t>
      </w:r>
      <w:proofErr w:type="spellEnd"/>
      <w:r w:rsidRPr="007E7856">
        <w:rPr>
          <w:b w:val="0"/>
        </w:rPr>
        <w:t xml:space="preserve"> comparisons to validate the usefulness of radial maps as a comparative instrument, and (3) a more in-depth epistemological study of the legitimacy of formalization in classical and contemporary Islamic scientific traditions.</w:t>
      </w:r>
    </w:p>
    <w:p w14:paraId="48F13080" w14:textId="576AFC3D" w:rsidR="00237B95" w:rsidRDefault="007E7856" w:rsidP="00237B95">
      <w:pPr>
        <w:pStyle w:val="06Heading1"/>
        <w:ind w:left="0" w:firstLine="284"/>
        <w:rPr>
          <w:b w:val="0"/>
        </w:rPr>
      </w:pPr>
      <w:r w:rsidRPr="007E7856">
        <w:rPr>
          <w:b w:val="0"/>
        </w:rPr>
        <w:t>Most importantly, this article wants to emphasize that a good tool does not claim more than it can provide. Cosine similarity provides structure. The interpretation of that structure, and what decisions to make from it, remains the responsibility of human beings—especially those who have the scientific depth to do so fairly.</w:t>
      </w:r>
    </w:p>
    <w:p w14:paraId="6396732B" w14:textId="18B1943A" w:rsidR="00E446E9" w:rsidRPr="00E446E9" w:rsidRDefault="00E446E9" w:rsidP="007E7856">
      <w:pPr>
        <w:pStyle w:val="06Heading1"/>
        <w:rPr>
          <w:bCs/>
        </w:rPr>
      </w:pPr>
      <w:r w:rsidRPr="00E446E9">
        <w:rPr>
          <w:bCs/>
        </w:rPr>
        <w:t>BIBLIOGRAPHY</w:t>
      </w:r>
      <w:r w:rsidR="00222A6E">
        <w:rPr>
          <w:bCs/>
        </w:rPr>
        <w:t xml:space="preserve">  </w:t>
      </w:r>
    </w:p>
    <w:p w14:paraId="448FF214" w14:textId="77777777" w:rsidR="00434CAE" w:rsidRPr="00434CAE" w:rsidRDefault="00EB3770" w:rsidP="00434CAE">
      <w:pPr>
        <w:pStyle w:val="Bibliografi"/>
        <w:jc w:val="both"/>
      </w:pPr>
      <w:r>
        <w:fldChar w:fldCharType="begin"/>
      </w:r>
      <w:r w:rsidR="00434CAE">
        <w:instrText xml:space="preserve"> ADDIN ZOTERO_BIBL {"uncited":[],"omitted":[],"custom":[]} CSL_BIBLIOGRAPHY </w:instrText>
      </w:r>
      <w:r>
        <w:fldChar w:fldCharType="separate"/>
      </w:r>
      <w:r w:rsidR="00434CAE" w:rsidRPr="00434CAE">
        <w:t xml:space="preserve">Abdullah, M. Amin, </w:t>
      </w:r>
      <w:r w:rsidR="00434CAE" w:rsidRPr="00434CAE">
        <w:rPr>
          <w:i/>
          <w:iCs/>
        </w:rPr>
        <w:t xml:space="preserve">Islamic studies di </w:t>
      </w:r>
      <w:proofErr w:type="spellStart"/>
      <w:r w:rsidR="00434CAE" w:rsidRPr="00434CAE">
        <w:rPr>
          <w:i/>
          <w:iCs/>
        </w:rPr>
        <w:t>perguruan</w:t>
      </w:r>
      <w:proofErr w:type="spellEnd"/>
      <w:r w:rsidR="00434CAE" w:rsidRPr="00434CAE">
        <w:rPr>
          <w:i/>
          <w:iCs/>
        </w:rPr>
        <w:t xml:space="preserve"> </w:t>
      </w:r>
      <w:proofErr w:type="spellStart"/>
      <w:r w:rsidR="00434CAE" w:rsidRPr="00434CAE">
        <w:rPr>
          <w:i/>
          <w:iCs/>
        </w:rPr>
        <w:t>tinggi</w:t>
      </w:r>
      <w:proofErr w:type="spellEnd"/>
      <w:r w:rsidR="00434CAE" w:rsidRPr="00434CAE">
        <w:rPr>
          <w:i/>
          <w:iCs/>
        </w:rPr>
        <w:t xml:space="preserve">: </w:t>
      </w:r>
      <w:proofErr w:type="spellStart"/>
      <w:r w:rsidR="00434CAE" w:rsidRPr="00434CAE">
        <w:rPr>
          <w:i/>
          <w:iCs/>
        </w:rPr>
        <w:t>pendekatan</w:t>
      </w:r>
      <w:proofErr w:type="spellEnd"/>
      <w:r w:rsidR="00434CAE" w:rsidRPr="00434CAE">
        <w:rPr>
          <w:i/>
          <w:iCs/>
        </w:rPr>
        <w:t xml:space="preserve"> </w:t>
      </w:r>
      <w:proofErr w:type="spellStart"/>
      <w:r w:rsidR="00434CAE" w:rsidRPr="00434CAE">
        <w:rPr>
          <w:i/>
          <w:iCs/>
        </w:rPr>
        <w:t>integratif-interkonektif</w:t>
      </w:r>
      <w:proofErr w:type="spellEnd"/>
      <w:r w:rsidR="00434CAE" w:rsidRPr="00434CAE">
        <w:t xml:space="preserve">, P. </w:t>
      </w:r>
      <w:proofErr w:type="spellStart"/>
      <w:r w:rsidR="00434CAE" w:rsidRPr="00434CAE">
        <w:t>Pelajar</w:t>
      </w:r>
      <w:proofErr w:type="spellEnd"/>
      <w:r w:rsidR="00434CAE" w:rsidRPr="00434CAE">
        <w:t>, 2006.</w:t>
      </w:r>
    </w:p>
    <w:p w14:paraId="6146CB1F" w14:textId="77777777" w:rsidR="00434CAE" w:rsidRPr="00434CAE" w:rsidRDefault="00434CAE" w:rsidP="00434CAE">
      <w:pPr>
        <w:pStyle w:val="Bibliografi"/>
        <w:jc w:val="both"/>
      </w:pPr>
      <w:r w:rsidRPr="00434CAE">
        <w:t xml:space="preserve">Brown, Jonathan A.C., </w:t>
      </w:r>
      <w:r w:rsidRPr="00434CAE">
        <w:rPr>
          <w:i/>
          <w:iCs/>
        </w:rPr>
        <w:t>Hadith: Muhammad’s Legacy in the Medieval and Modern World</w:t>
      </w:r>
      <w:r w:rsidRPr="00434CAE">
        <w:t>, Oneworld, 2009.</w:t>
      </w:r>
    </w:p>
    <w:p w14:paraId="73EB46A4" w14:textId="77777777" w:rsidR="00434CAE" w:rsidRPr="00434CAE" w:rsidRDefault="00434CAE" w:rsidP="00434CAE">
      <w:pPr>
        <w:pStyle w:val="Bibliografi"/>
        <w:jc w:val="both"/>
      </w:pPr>
      <w:r w:rsidRPr="00434CAE">
        <w:t xml:space="preserve">Bunt, Gary R., </w:t>
      </w:r>
      <w:r w:rsidRPr="00434CAE">
        <w:rPr>
          <w:i/>
          <w:iCs/>
        </w:rPr>
        <w:t>Hashtag Islam: How Cyber-Islamic Environments Are Transforming Religious Authority</w:t>
      </w:r>
      <w:r w:rsidRPr="00434CAE">
        <w:t>, Chapel Hill (N.C.): The University of North Carolina Press, 2018.</w:t>
      </w:r>
    </w:p>
    <w:p w14:paraId="2401EE60" w14:textId="77777777" w:rsidR="00434CAE" w:rsidRPr="00434CAE" w:rsidRDefault="00434CAE" w:rsidP="00434CAE">
      <w:pPr>
        <w:pStyle w:val="Bibliografi"/>
        <w:jc w:val="both"/>
      </w:pPr>
      <w:r w:rsidRPr="00434CAE">
        <w:t xml:space="preserve">Grimmer, Justin and Brandon M. Stewart, “Text as Data: The Promise and Pitfalls of Automatic Content Analysis Methods for Political Texts”, </w:t>
      </w:r>
      <w:r w:rsidRPr="00434CAE">
        <w:rPr>
          <w:i/>
          <w:iCs/>
        </w:rPr>
        <w:t>Political Analysis</w:t>
      </w:r>
      <w:r w:rsidRPr="00434CAE">
        <w:t>, vol. 21, no. 3, 2013, pp. 267–97 [</w:t>
      </w:r>
      <w:proofErr w:type="gramStart"/>
      <w:r w:rsidRPr="00434CAE">
        <w:t>https://doi.org/10.1093/pan/mps028 ]</w:t>
      </w:r>
      <w:proofErr w:type="gramEnd"/>
      <w:r w:rsidRPr="00434CAE">
        <w:t>.</w:t>
      </w:r>
    </w:p>
    <w:p w14:paraId="7922A8D2" w14:textId="77777777" w:rsidR="00434CAE" w:rsidRPr="00434CAE" w:rsidRDefault="00434CAE" w:rsidP="00434CAE">
      <w:pPr>
        <w:pStyle w:val="Bibliografi"/>
        <w:jc w:val="both"/>
      </w:pPr>
      <w:r w:rsidRPr="00434CAE">
        <w:t xml:space="preserve">Lakatos, Imre, </w:t>
      </w:r>
      <w:r w:rsidRPr="00434CAE">
        <w:rPr>
          <w:i/>
          <w:iCs/>
        </w:rPr>
        <w:t xml:space="preserve">The Methodology of Scientific Research </w:t>
      </w:r>
      <w:proofErr w:type="spellStart"/>
      <w:r w:rsidRPr="00434CAE">
        <w:rPr>
          <w:i/>
          <w:iCs/>
        </w:rPr>
        <w:t>Programmes</w:t>
      </w:r>
      <w:proofErr w:type="spellEnd"/>
      <w:r w:rsidRPr="00434CAE">
        <w:rPr>
          <w:i/>
          <w:iCs/>
        </w:rPr>
        <w:t>: Philosophical Papers</w:t>
      </w:r>
      <w:r w:rsidRPr="00434CAE">
        <w:t xml:space="preserve">, vol. 1, ed. by John Worrall and Gregory Currie, </w:t>
      </w:r>
      <w:r w:rsidRPr="00434CAE">
        <w:lastRenderedPageBreak/>
        <w:t>Cambridge: Cambridge University Press, 1978 [</w:t>
      </w:r>
      <w:proofErr w:type="gramStart"/>
      <w:r w:rsidRPr="00434CAE">
        <w:t>https://doi.org/10.1017/CBO9780511621123 ]</w:t>
      </w:r>
      <w:proofErr w:type="gramEnd"/>
      <w:r w:rsidRPr="00434CAE">
        <w:t>.</w:t>
      </w:r>
    </w:p>
    <w:p w14:paraId="41B37939" w14:textId="77777777" w:rsidR="00434CAE" w:rsidRPr="00434CAE" w:rsidRDefault="00434CAE" w:rsidP="00434CAE">
      <w:pPr>
        <w:pStyle w:val="Bibliografi"/>
        <w:jc w:val="both"/>
      </w:pPr>
      <w:r w:rsidRPr="00434CAE">
        <w:t xml:space="preserve">Leaman, Oliver, </w:t>
      </w:r>
      <w:r w:rsidRPr="00434CAE">
        <w:rPr>
          <w:i/>
          <w:iCs/>
        </w:rPr>
        <w:t>Averroes and His Philosophy</w:t>
      </w:r>
      <w:r w:rsidRPr="00434CAE">
        <w:t>, Psychology Press, 1998.</w:t>
      </w:r>
    </w:p>
    <w:p w14:paraId="1D3E6024" w14:textId="77777777" w:rsidR="00434CAE" w:rsidRPr="00434CAE" w:rsidRDefault="00434CAE" w:rsidP="00434CAE">
      <w:pPr>
        <w:pStyle w:val="Bibliografi"/>
        <w:jc w:val="both"/>
      </w:pPr>
      <w:r w:rsidRPr="00434CAE">
        <w:t xml:space="preserve">Liu, Bing, </w:t>
      </w:r>
      <w:r w:rsidRPr="00434CAE">
        <w:rPr>
          <w:i/>
          <w:iCs/>
        </w:rPr>
        <w:t>Sentiment Analysis and Opinion Mining</w:t>
      </w:r>
      <w:r w:rsidRPr="00434CAE">
        <w:t>, Morgan &amp; Claypool Publishers, 2012.</w:t>
      </w:r>
    </w:p>
    <w:p w14:paraId="7CFB1626" w14:textId="77777777" w:rsidR="00434CAE" w:rsidRPr="00434CAE" w:rsidRDefault="00434CAE" w:rsidP="00434CAE">
      <w:pPr>
        <w:pStyle w:val="Bibliografi"/>
        <w:jc w:val="both"/>
      </w:pPr>
      <w:r w:rsidRPr="00434CAE">
        <w:t xml:space="preserve">Manning, Christopher D., Prabhakar Raghavan, and Hinrich Schütze, “Introduction to Information Retrieval”, </w:t>
      </w:r>
      <w:r w:rsidRPr="00434CAE">
        <w:rPr>
          <w:i/>
          <w:iCs/>
        </w:rPr>
        <w:t>Cambridge Aspire website</w:t>
      </w:r>
      <w:r w:rsidRPr="00434CAE">
        <w:t>, Cambridge University Press, 7 Jul 2008 [</w:t>
      </w:r>
      <w:proofErr w:type="gramStart"/>
      <w:r w:rsidRPr="00434CAE">
        <w:t>https://doi.org/10.1017/CBO9780511809071 ]</w:t>
      </w:r>
      <w:proofErr w:type="gramEnd"/>
      <w:r w:rsidRPr="00434CAE">
        <w:t>.</w:t>
      </w:r>
    </w:p>
    <w:p w14:paraId="478D9E2D" w14:textId="77777777" w:rsidR="00434CAE" w:rsidRPr="00434CAE" w:rsidRDefault="00434CAE" w:rsidP="00434CAE">
      <w:pPr>
        <w:pStyle w:val="Bibliografi"/>
        <w:jc w:val="both"/>
      </w:pPr>
      <w:r w:rsidRPr="00434CAE">
        <w:t xml:space="preserve">Pennycook, Gordon, Tyrone D. Cannon, and David G. Rand, “Prior exposure increases perceived accuracy of fake news”, </w:t>
      </w:r>
      <w:r w:rsidRPr="00434CAE">
        <w:rPr>
          <w:i/>
          <w:iCs/>
        </w:rPr>
        <w:t>Journal of experimental psychology. General</w:t>
      </w:r>
      <w:r w:rsidRPr="00434CAE">
        <w:t>, vol. 147, no. 12, 2018, pp. 1865–80 [</w:t>
      </w:r>
      <w:proofErr w:type="gramStart"/>
      <w:r w:rsidRPr="00434CAE">
        <w:t>https://doi.org/10.1037/xge0000465 ]</w:t>
      </w:r>
      <w:proofErr w:type="gramEnd"/>
      <w:r w:rsidRPr="00434CAE">
        <w:t>.</w:t>
      </w:r>
    </w:p>
    <w:p w14:paraId="1EF9ED41" w14:textId="77777777" w:rsidR="00434CAE" w:rsidRPr="00434CAE" w:rsidRDefault="00434CAE" w:rsidP="00434CAE">
      <w:pPr>
        <w:pStyle w:val="Bibliografi"/>
        <w:jc w:val="both"/>
      </w:pPr>
      <w:r w:rsidRPr="00434CAE">
        <w:t xml:space="preserve">Poole, Keith T. and Howard Rosenthal, “A Spatial Model for Legislative Roll Call Analysis”, </w:t>
      </w:r>
      <w:r w:rsidRPr="00434CAE">
        <w:rPr>
          <w:i/>
          <w:iCs/>
        </w:rPr>
        <w:t>American Journal of Political Science</w:t>
      </w:r>
      <w:r w:rsidRPr="00434CAE">
        <w:t>, vol. 29, no. 2, [Midwest Political Science Association, Wiley], 1985, pp. 357–84 [</w:t>
      </w:r>
      <w:proofErr w:type="gramStart"/>
      <w:r w:rsidRPr="00434CAE">
        <w:t>https://doi.org/10.2307/2111172 ]</w:t>
      </w:r>
      <w:proofErr w:type="gramEnd"/>
      <w:r w:rsidRPr="00434CAE">
        <w:t>.</w:t>
      </w:r>
    </w:p>
    <w:p w14:paraId="750FA656" w14:textId="77777777" w:rsidR="00434CAE" w:rsidRPr="00434CAE" w:rsidRDefault="00434CAE" w:rsidP="00434CAE">
      <w:pPr>
        <w:pStyle w:val="Bibliografi"/>
        <w:jc w:val="both"/>
      </w:pPr>
      <w:r w:rsidRPr="00434CAE">
        <w:t xml:space="preserve">Popper, Karl, </w:t>
      </w:r>
      <w:r w:rsidRPr="00434CAE">
        <w:rPr>
          <w:i/>
          <w:iCs/>
        </w:rPr>
        <w:t>The Logic of Scientific Discovery</w:t>
      </w:r>
      <w:r w:rsidRPr="00434CAE">
        <w:t>, Routledge, 2005.</w:t>
      </w:r>
    </w:p>
    <w:p w14:paraId="746D1545" w14:textId="77777777" w:rsidR="00434CAE" w:rsidRPr="00434CAE" w:rsidRDefault="00434CAE" w:rsidP="00434CAE">
      <w:pPr>
        <w:pStyle w:val="Bibliografi"/>
        <w:jc w:val="both"/>
      </w:pPr>
      <w:r w:rsidRPr="00434CAE">
        <w:t xml:space="preserve">Quine, W.V., “Main Trends in Recent Philosophy: Two Dogmas of Empiricism”, </w:t>
      </w:r>
      <w:r w:rsidRPr="00434CAE">
        <w:rPr>
          <w:i/>
          <w:iCs/>
        </w:rPr>
        <w:t>The Philosophical Review</w:t>
      </w:r>
      <w:r w:rsidRPr="00434CAE">
        <w:t>, vol. 60, no. 1, [Duke University Press, Philosophical Review], 1951, pp. 20–43 [</w:t>
      </w:r>
      <w:proofErr w:type="gramStart"/>
      <w:r w:rsidRPr="00434CAE">
        <w:t>https://doi.org/10.2307/2181906 ]</w:t>
      </w:r>
      <w:proofErr w:type="gramEnd"/>
      <w:r w:rsidRPr="00434CAE">
        <w:t>.</w:t>
      </w:r>
    </w:p>
    <w:p w14:paraId="17D5E4CA" w14:textId="77777777" w:rsidR="00434CAE" w:rsidRPr="00434CAE" w:rsidRDefault="00434CAE" w:rsidP="00434CAE">
      <w:pPr>
        <w:pStyle w:val="Bibliografi"/>
        <w:jc w:val="both"/>
      </w:pPr>
      <w:r w:rsidRPr="00434CAE">
        <w:t xml:space="preserve">Salton, Gerard and Christopher Buckley, “Term-weighting approaches in automatic text retrieval”, </w:t>
      </w:r>
      <w:r w:rsidRPr="00434CAE">
        <w:rPr>
          <w:i/>
          <w:iCs/>
        </w:rPr>
        <w:t>Information Processing &amp; Management</w:t>
      </w:r>
      <w:r w:rsidRPr="00434CAE">
        <w:t>, vol. 24, no. 5, 1988, pp. 513–23 [</w:t>
      </w:r>
      <w:proofErr w:type="gramStart"/>
      <w:r w:rsidRPr="00434CAE">
        <w:t>https://doi.org/10.1016/0306-4573(88)90021-0 ]</w:t>
      </w:r>
      <w:proofErr w:type="gramEnd"/>
      <w:r w:rsidRPr="00434CAE">
        <w:t>.</w:t>
      </w:r>
    </w:p>
    <w:p w14:paraId="03B6E271" w14:textId="77777777" w:rsidR="00434CAE" w:rsidRPr="00434CAE" w:rsidRDefault="00434CAE" w:rsidP="00434CAE">
      <w:pPr>
        <w:pStyle w:val="Bibliografi"/>
        <w:jc w:val="both"/>
      </w:pPr>
      <w:r w:rsidRPr="00434CAE">
        <w:t xml:space="preserve">Wittgenstein, Ludwig, </w:t>
      </w:r>
      <w:r w:rsidRPr="00434CAE">
        <w:rPr>
          <w:i/>
          <w:iCs/>
        </w:rPr>
        <w:t>Philosophical Investigations</w:t>
      </w:r>
      <w:r w:rsidRPr="00434CAE">
        <w:t>, ed. by P.M.S. Hacker and Joachim Schulte, Chichester, West Sussex, U.K Malden, MA: Wiley-Blackwell, 2010.</w:t>
      </w:r>
    </w:p>
    <w:p w14:paraId="043757B6" w14:textId="17F9564C" w:rsidR="00F04536" w:rsidRPr="00434CAE" w:rsidRDefault="00EB3770" w:rsidP="00434CAE">
      <w:pPr>
        <w:spacing w:after="0" w:line="360" w:lineRule="auto"/>
        <w:jc w:val="both"/>
        <w:rPr>
          <w:b/>
          <w:bCs/>
        </w:rPr>
      </w:pPr>
      <w:r>
        <w:fldChar w:fldCharType="end"/>
      </w:r>
    </w:p>
    <w:sectPr w:rsidR="00F04536" w:rsidRPr="00434CAE" w:rsidSect="000F2476">
      <w:headerReference w:type="even" r:id="rId7"/>
      <w:headerReference w:type="default" r:id="rId8"/>
      <w:footerReference w:type="even" r:id="rId9"/>
      <w:footerReference w:type="default" r:id="rId10"/>
      <w:headerReference w:type="first" r:id="rId11"/>
      <w:footerReference w:type="first" r:id="rId12"/>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A7C56" w14:textId="77777777" w:rsidR="0064705D" w:rsidRDefault="0064705D" w:rsidP="00146A14">
      <w:pPr>
        <w:spacing w:after="0" w:line="240" w:lineRule="auto"/>
      </w:pPr>
      <w:r>
        <w:separator/>
      </w:r>
    </w:p>
  </w:endnote>
  <w:endnote w:type="continuationSeparator" w:id="0">
    <w:p w14:paraId="663D3024" w14:textId="77777777" w:rsidR="0064705D" w:rsidRDefault="0064705D" w:rsidP="00146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ia2014">
    <w:altName w:val="Cambria"/>
    <w:charset w:val="00"/>
    <w:family w:val="roman"/>
    <w:pitch w:val="variable"/>
    <w:sig w:usb0="A00002AF" w:usb1="500068FB" w:usb2="00000000" w:usb3="00000000" w:csb0="0000009F" w:csb1="00000000"/>
  </w:font>
  <w:font w:name="Calibri">
    <w:panose1 w:val="020F0502020204030204"/>
    <w:charset w:val="00"/>
    <w:family w:val="swiss"/>
    <w:pitch w:val="variable"/>
    <w:sig w:usb0="E4002EFF" w:usb1="C200247B" w:usb2="00000009" w:usb3="00000000" w:csb0="000001FF" w:csb1="00000000"/>
  </w:font>
  <w:font w:name="Naskhi">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1456" w14:textId="77777777" w:rsidR="009014E2" w:rsidRDefault="00901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5D9C" w14:textId="77777777" w:rsidR="009014E2" w:rsidRDefault="009014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9030" w14:textId="77777777" w:rsidR="009014E2" w:rsidRDefault="00901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9DF0" w14:textId="77777777" w:rsidR="0064705D" w:rsidRDefault="0064705D" w:rsidP="00146A14">
      <w:pPr>
        <w:spacing w:after="0" w:line="240" w:lineRule="auto"/>
      </w:pPr>
      <w:r>
        <w:separator/>
      </w:r>
    </w:p>
  </w:footnote>
  <w:footnote w:type="continuationSeparator" w:id="0">
    <w:p w14:paraId="53FF8EC6" w14:textId="77777777" w:rsidR="0064705D" w:rsidRDefault="0064705D" w:rsidP="00146A14">
      <w:pPr>
        <w:spacing w:after="0" w:line="240" w:lineRule="auto"/>
      </w:pPr>
      <w:r>
        <w:continuationSeparator/>
      </w:r>
    </w:p>
  </w:footnote>
  <w:footnote w:id="1">
    <w:p w14:paraId="0A5BFB44" w14:textId="54B4706C" w:rsidR="005668FB" w:rsidRPr="005668FB" w:rsidRDefault="005668FB" w:rsidP="005668FB">
      <w:pPr>
        <w:pStyle w:val="TeksCatatanKaki"/>
        <w:jc w:val="both"/>
        <w:rPr>
          <w:lang w:val="id-ID"/>
        </w:rPr>
      </w:pPr>
      <w:r>
        <w:rPr>
          <w:rStyle w:val="ReferensiCatatanKaki"/>
        </w:rPr>
        <w:footnoteRef/>
      </w:r>
      <w:r>
        <w:t xml:space="preserve"> </w:t>
      </w:r>
      <w:r>
        <w:fldChar w:fldCharType="begin"/>
      </w:r>
      <w:r>
        <w:instrText xml:space="preserve"> ADDIN ZOTERO_ITEM CSL_CITATION {"citationID":"cIgdWmoG","properties":{"formattedCitation":"Gerard Salton and Christopher Buckley, \\uc0\\u8220{}Term-weighting approaches in automatic text retrieval\\uc0\\u8221{}, {\\i{}Information Processing &amp; Management}, vol. 24, no. 5 (1988), pp. 513\\uc0\\u8211{}23.","plainCitation":"Gerard Salton and Christopher Buckley, “Term-weighting approaches in automatic text retrieval”, Information Processing &amp; Management, vol. 24, no. 5 (1988), pp. 513–23.","noteIndex":1},"citationItems":[{"id":1868,"uris":["http://zotero.org/users/local/JUiY319R/items/S57KL34Q"],"itemData":{"id":1868,"type":"article-journal","abstract":"The experimental evidence accumulated over the past 20 years indicates that text indexing systems based on the assignment of appropriately weighted single terms produce retrieval results that are superior to those obtainable with other more elaborate text representations. These results depend crucially on the choice of effective termweighting systems. This article summarizes the insights gained in automatic term weighting, and provides baseline single-term-indexing models with which other more elaborate content analysis procedures can be compared.","container-title":"Information Processing &amp; Management","DOI":"10.1016/0306-4573(88)90021-0","ISSN":"0306-4573","issue":"5","journalAbbreviation":"Information Processing &amp; Management","page":"513-523","source":"ScienceDirect","title":"Term-weighting approaches in automatic text retrieval","volume":"24","author":[{"family":"Salton","given":"Gerard"},{"family":"Buckley","given":"Christopher"}],"issued":{"date-parts":[["1988",1,1]]}}}],"schema":"https://github.com/citation-style-language/schema/raw/master/csl-citation.json"} </w:instrText>
      </w:r>
      <w:r>
        <w:fldChar w:fldCharType="separate"/>
      </w:r>
      <w:r w:rsidRPr="005668FB">
        <w:rPr>
          <w:rFonts w:cs="Times New Roman"/>
        </w:rPr>
        <w:t xml:space="preserve">Gerard Salton and Christopher Buckley, “Term-weighting approaches in automatic text retrieval”, </w:t>
      </w:r>
      <w:r w:rsidRPr="005668FB">
        <w:rPr>
          <w:rFonts w:cs="Times New Roman"/>
          <w:i/>
          <w:iCs/>
        </w:rPr>
        <w:t>Information Processing &amp; Management</w:t>
      </w:r>
      <w:r w:rsidRPr="005668FB">
        <w:rPr>
          <w:rFonts w:cs="Times New Roman"/>
        </w:rPr>
        <w:t>, vol. 24, no. 5 (1988), pp. 513–23.</w:t>
      </w:r>
      <w:r>
        <w:fldChar w:fldCharType="end"/>
      </w:r>
    </w:p>
  </w:footnote>
  <w:footnote w:id="2">
    <w:p w14:paraId="31A5E830" w14:textId="18E2C8AF" w:rsidR="005668FB" w:rsidRPr="005668FB" w:rsidRDefault="005668FB" w:rsidP="005668FB">
      <w:pPr>
        <w:pStyle w:val="TeksCatatanKaki"/>
        <w:jc w:val="both"/>
        <w:rPr>
          <w:lang w:val="id-ID"/>
        </w:rPr>
      </w:pPr>
      <w:r>
        <w:rPr>
          <w:rStyle w:val="ReferensiCatatanKaki"/>
        </w:rPr>
        <w:footnoteRef/>
      </w:r>
      <w:r>
        <w:t xml:space="preserve"> </w:t>
      </w:r>
      <w:r>
        <w:fldChar w:fldCharType="begin"/>
      </w:r>
      <w:r>
        <w:instrText xml:space="preserve"> ADDIN ZOTERO_ITEM CSL_CITATION {"citationID":"GpiLTjmK","properties":{"formattedCitation":"Christopher D. Manning, Prabhakar Raghavan, and Hinrich Sch\\uc0\\u252{}tze, \\uc0\\u8220{}Introduction to Information Retrieval\\uc0\\u8221{}, {\\i{}Cambridge Aspire website} (Cambridge University Press, 7 Jul 2008), https://www.cambridge.org/highereducation/books/introduction-to-information-retrieval/669D108D20F556C5C30957D63B5AB65C, accessed 18 May 2026.","plainCitation":"Christopher D. Manning, Prabhakar Raghavan, and Hinrich Schütze, “Introduction to Information Retrieval”, Cambridge Aspire website (Cambridge University Press, 7 Jul 2008), https://www.cambridge.org/highereducation/books/introduction-to-information-retrieval/669D108D20F556C5C30957D63B5AB65C, accessed 18 May 2026.","noteIndex":2},"citationItems":[{"id":1886,"uris":["http://zotero.org/users/local/JUiY319R/items/EU5NCL5D"],"itemData":{"id":1886,"type":"webpage","abstract":"Class-tested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lectures.","container-title":"Cambridge Aspire website","language":"en","note":"ISBN: 9780511809071\npublisher: Cambridge University Press\nDOI: 10.1017/CBO9780511809071","title":"Introduction to Information Retrieval","URL":"https://www.cambridge.org/highereducation/books/introduction-to-information-retrieval/669D108D20F556C5C30957D63B5AB65C","author":[{"family":"Manning","given":"Christopher D."},{"family":"Raghavan","given":"Prabhakar"},{"family":"Schütze","given":"Hinrich"}],"accessed":{"date-parts":[["2026",5,18]]},"issued":{"date-parts":[["2008",7,7]]}}}],"schema":"https://github.com/citation-style-language/schema/raw/master/csl-citation.json"} </w:instrText>
      </w:r>
      <w:r>
        <w:fldChar w:fldCharType="separate"/>
      </w:r>
      <w:r w:rsidRPr="005668FB">
        <w:rPr>
          <w:rFonts w:cs="Times New Roman"/>
        </w:rPr>
        <w:t xml:space="preserve">Christopher D. Manning, Prabhakar Raghavan, and Hinrich Schütze, “Introduction to Information Retrieval”, </w:t>
      </w:r>
      <w:r w:rsidRPr="005668FB">
        <w:rPr>
          <w:rFonts w:cs="Times New Roman"/>
          <w:i/>
          <w:iCs/>
        </w:rPr>
        <w:t>Cambridge Aspire website</w:t>
      </w:r>
      <w:r w:rsidRPr="005668FB">
        <w:rPr>
          <w:rFonts w:cs="Times New Roman"/>
        </w:rPr>
        <w:t xml:space="preserve"> (Cambridge University Press, 7 Jul 2008), https://www.cambridge.org/highereducation/books/introduction-to-information-retrieval/669D108D20F556C5C30957D63B5AB65C, accessed 18 May 2026.</w:t>
      </w:r>
      <w:r>
        <w:fldChar w:fldCharType="end"/>
      </w:r>
    </w:p>
  </w:footnote>
  <w:footnote w:id="3">
    <w:p w14:paraId="5B7BA28F" w14:textId="241150FB" w:rsidR="005668FB" w:rsidRPr="005668FB" w:rsidRDefault="005668FB" w:rsidP="005668FB">
      <w:pPr>
        <w:pStyle w:val="TeksCatatanKaki"/>
        <w:jc w:val="both"/>
        <w:rPr>
          <w:lang w:val="id-ID"/>
        </w:rPr>
      </w:pPr>
      <w:r>
        <w:rPr>
          <w:rStyle w:val="ReferensiCatatanKaki"/>
        </w:rPr>
        <w:footnoteRef/>
      </w:r>
      <w:r>
        <w:t xml:space="preserve"> </w:t>
      </w:r>
      <w:r>
        <w:fldChar w:fldCharType="begin"/>
      </w:r>
      <w:r>
        <w:instrText xml:space="preserve"> ADDIN ZOTERO_ITEM CSL_CITATION {"citationID":"Hf98bfMc","properties":{"formattedCitation":"Keith T. Poole and Howard Rosenthal, \\uc0\\u8220{}A Spatial Model for Legislative Roll Call Analysis\\uc0\\u8221{}, {\\i{}American Journal of Political Science}, vol. 29, no. 2 ([Midwest Political Science Association, Wiley], 1985), pp. 357\\uc0\\u8211{}84.","plainCitation":"Keith T. Poole and Howard Rosenthal, “A Spatial Model for Legislative Roll Call Analysis”, American Journal of Political Science, vol. 29, no. 2 ([Midwest Political Science Association, Wiley], 1985), pp. 357–84.","noteIndex":3},"citationItems":[{"id":1866,"uris":["http://zotero.org/users/local/JUiY319R/items/49W8EQXC"],"itemData":{"id":1866,"type":"article-journal","abstract":"A general nonlinear logit model is used to analyze political choice data. The model assumes probabilistic voting based on a spatial utility function. The parameters of the utility function and the spatial coordinates of the choices and the choosers can all be estimated on the basis of observed choices. Ordinary Guttman scaling is a degenerate case of this model. Estimation of the model is implemented in the NOMINATE program for one dimensional analysis of two alternative choices with no nonvoting. The robustness and face validity of the program outputs are evaluated on the basis of roll call voting data for the U.S. House and Senate.","container-title":"American Journal of Political Science","DOI":"10.2307/2111172","ISSN":"0092-5853","issue":"2","note":"publisher: [Midwest Political Science Association, Wiley]","page":"357-384","source":"JSTOR","title":"A Spatial Model for Legislative Roll Call Analysis","volume":"29","author":[{"family":"Poole","given":"Keith T."},{"family":"Rosenthal","given":"Howard"}],"issued":{"date-parts":[["1985"]]}}}],"schema":"https://github.com/citation-style-language/schema/raw/master/csl-citation.json"} </w:instrText>
      </w:r>
      <w:r>
        <w:fldChar w:fldCharType="separate"/>
      </w:r>
      <w:r w:rsidRPr="005668FB">
        <w:rPr>
          <w:rFonts w:cs="Times New Roman"/>
        </w:rPr>
        <w:t xml:space="preserve">Keith T. Poole and Howard Rosenthal, “A Spatial Model for Legislative Roll Call Analysis”, </w:t>
      </w:r>
      <w:r w:rsidRPr="005668FB">
        <w:rPr>
          <w:rFonts w:cs="Times New Roman"/>
          <w:i/>
          <w:iCs/>
        </w:rPr>
        <w:t>American Journal of Political Science</w:t>
      </w:r>
      <w:r w:rsidRPr="005668FB">
        <w:rPr>
          <w:rFonts w:cs="Times New Roman"/>
        </w:rPr>
        <w:t>, vol. 29, no. 2 ([Midwest Political Science Association, Wiley], 1985), pp. 357–84.</w:t>
      </w:r>
      <w:r>
        <w:fldChar w:fldCharType="end"/>
      </w:r>
    </w:p>
  </w:footnote>
  <w:footnote w:id="4">
    <w:p w14:paraId="51DACC89" w14:textId="4C83990A" w:rsidR="005668FB" w:rsidRPr="005668FB" w:rsidRDefault="005668FB" w:rsidP="005668FB">
      <w:pPr>
        <w:pStyle w:val="TeksCatatanKaki"/>
        <w:jc w:val="both"/>
        <w:rPr>
          <w:lang w:val="id-ID"/>
        </w:rPr>
      </w:pPr>
      <w:r>
        <w:rPr>
          <w:rStyle w:val="ReferensiCatatanKaki"/>
        </w:rPr>
        <w:footnoteRef/>
      </w:r>
      <w:r>
        <w:t xml:space="preserve"> </w:t>
      </w:r>
      <w:r>
        <w:fldChar w:fldCharType="begin"/>
      </w:r>
      <w:r>
        <w:instrText xml:space="preserve"> ADDIN ZOTERO_ITEM CSL_CITATION {"citationID":"b6Nf7hPP","properties":{"formattedCitation":"Bing Liu, {\\i{}Sentiment Analysis and Opinion Mining} (Morgan &amp; Claypool Publishers, 2012).","plainCitation":"Bing Liu, Sentiment Analysis and Opinion Mining (Morgan &amp; Claypool Publishers, 2012).","noteIndex":4},"citationItems":[{"id":1871,"uris":["http://zotero.org/users/local/JUiY319R/items/N2DCPQG8"],"itemData":{"id":1871,"type":"book","abstract":"Sentiment analysis and opinion mining is the field of study that analyzes people's opinions, sentiments, evaluations, attitudes, and emotions from written language. It is one of the most active research areas in natural language processing and is also widely studied in data mining, Web mining, and text mining. In fact, this research has spread outside of computer science to the management sciences and social sciences due to its importance to business and society as a whole. The growing importance of sentiment analysis coincides with the growth of social media such as reviews, forum discussions, blogs, micro-blogs, Twitter, and social networks. For the first time in human history, we now have a huge volume of opinionated data recorded in digital form for analysis. Sentiment analysis systems are being applied in almost every business and social domain because opinions are central to almost all human activities and are key influencers of our behaviors. Our beliefs and perceptions of reality, and the choices we make, are largely conditioned on how others see and evaluate the world. For this reason, when we need to make a decision we often seek out the opinions of others. This is true not only for individuals but also for organizations. This book is a comprehensive introductory and survey text. It covers all important topics and the latest developments in the field with over 400 references. It is suitable for students, researchers and practitioners who are interested in social media analysis in general and sentiment analysis in particular. Lecturers can readily use it in class for courses on natural language processing, social media analysis, text mining, and data mining. Lecture slides are also available online. Table of Contents: Preface / Sentiment Analysis: A Fascinating Problem / The Problem of Sentiment Analysis / Document Sentiment Classification / Sentence Subjectivity and Sentiment Classification / Aspect-Based Sentiment Analysis / Sentiment Lexicon Generation / Opinion Summarization / Analysis of Comparative Opinions / Opinion Search and Retrieval / Opinion Spam Detection / Quality of Reviews / Concluding Remarks / Bibliography / Author Biography","ISBN":"978-1-60845-884-4","language":"en","note":"Google-Books-ID: Gt8g72e6MuEC","number-of-pages":"185","publisher":"Morgan &amp; Claypool Publishers","source":"Google Books","title":"Sentiment Analysis and Opinion Mining","author":[{"family":"Liu","given":"Bing"}],"issued":{"date-parts":[["2012"]]}}}],"schema":"https://github.com/citation-style-language/schema/raw/master/csl-citation.json"} </w:instrText>
      </w:r>
      <w:r>
        <w:fldChar w:fldCharType="separate"/>
      </w:r>
      <w:r w:rsidRPr="005668FB">
        <w:rPr>
          <w:rFonts w:cs="Times New Roman"/>
        </w:rPr>
        <w:t xml:space="preserve">Bing Liu, </w:t>
      </w:r>
      <w:r w:rsidRPr="005668FB">
        <w:rPr>
          <w:rFonts w:cs="Times New Roman"/>
          <w:i/>
          <w:iCs/>
        </w:rPr>
        <w:t>Sentiment Analysis and Opinion Mining</w:t>
      </w:r>
      <w:r w:rsidRPr="005668FB">
        <w:rPr>
          <w:rFonts w:cs="Times New Roman"/>
        </w:rPr>
        <w:t xml:space="preserve"> (Morgan &amp; Claypool Publishers, 2012).</w:t>
      </w:r>
      <w:r>
        <w:fldChar w:fldCharType="end"/>
      </w:r>
    </w:p>
  </w:footnote>
  <w:footnote w:id="5">
    <w:p w14:paraId="1D99ECE8" w14:textId="64BAC8FD" w:rsidR="005668FB" w:rsidRPr="005668FB" w:rsidRDefault="005668FB" w:rsidP="005668FB">
      <w:pPr>
        <w:pStyle w:val="TeksCatatanKaki"/>
        <w:jc w:val="both"/>
        <w:rPr>
          <w:lang w:val="id-ID"/>
        </w:rPr>
      </w:pPr>
      <w:r>
        <w:rPr>
          <w:rStyle w:val="ReferensiCatatanKaki"/>
        </w:rPr>
        <w:footnoteRef/>
      </w:r>
      <w:r>
        <w:t xml:space="preserve"> </w:t>
      </w:r>
      <w:r>
        <w:fldChar w:fldCharType="begin"/>
      </w:r>
      <w:r>
        <w:instrText xml:space="preserve"> ADDIN ZOTERO_ITEM CSL_CITATION {"citationID":"VwEyzs6i","properties":{"formattedCitation":"Justin Grimmer and Brandon M. Stewart, \\uc0\\u8220{}Text as Data: The Promise and Pitfalls of Automatic Content Analysis Methods for Political Texts\\uc0\\u8221{}, {\\i{}Political Analysis}, vol. 21, no. 3 (2013), pp. 267\\uc0\\u8211{}97.","plainCitation":"Justin Grimmer and Brandon M. Stewart, “Text as Data: The Promise and Pitfalls of Automatic Content Analysis Methods for Political Texts”, Political Analysis, vol. 21, no. 3 (2013), pp. 267–97.","noteIndex":5},"citationItems":[{"id":1902,"uris":["http://zotero.org/users/local/JUiY319R/items/F4Q29JRX"],"itemData":{"id":1902,"type":"article-journal","abstract":"Politics and political conflict often occur in the written and spoken word. Scholars have long recognized this, but the massive costs of analyzing even moderately sized collections of texts have hindered their use in political science research. Here lies the promise of automated text analysis: it substantially reduces the costs of analyzing large collections of text. We provide a guide to this exciting new area of research and show how, in many instances, the methods have already obtained part of their promise. But there are pitfalls to using automated methods—they are no substitute for careful thought and close reading and require extensive and problem-specific validation. We survey a wide range of new methods, provide guidance on how to validate the output of the models, and clarify misconceptions and errors in the literature. To conclude, we argue that for automated text methods to become a standard tool for political scientists, methodologists must contribute new methods and new methods of validation.","container-title":"Political Analysis","DOI":"10.1093/pan/mps028","ISSN":"1047-1987, 1476-4989","issue":"3","language":"en","page":"267-297","source":"Cambridge University Press","title":"Text as Data: The Promise and Pitfalls of Automatic Content Analysis Methods for Political Texts","title-short":"Text as Data","volume":"21","author":[{"family":"Grimmer","given":"Justin"},{"family":"Stewart","given":"Brandon M."}],"issued":{"date-parts":[["2013",7]]}}}],"schema":"https://github.com/citation-style-language/schema/raw/master/csl-citation.json"} </w:instrText>
      </w:r>
      <w:r>
        <w:fldChar w:fldCharType="separate"/>
      </w:r>
      <w:r w:rsidRPr="005668FB">
        <w:rPr>
          <w:rFonts w:cs="Times New Roman"/>
        </w:rPr>
        <w:t xml:space="preserve">Justin Grimmer and Brandon M. Stewart, “Text as Data: The Promise and Pitfalls of Automatic Content Analysis Methods for Political Texts”, </w:t>
      </w:r>
      <w:r w:rsidRPr="005668FB">
        <w:rPr>
          <w:rFonts w:cs="Times New Roman"/>
          <w:i/>
          <w:iCs/>
        </w:rPr>
        <w:t>Political Analysis</w:t>
      </w:r>
      <w:r w:rsidRPr="005668FB">
        <w:rPr>
          <w:rFonts w:cs="Times New Roman"/>
        </w:rPr>
        <w:t>, vol. 21, no. 3 (2013), pp. 267–97.</w:t>
      </w:r>
      <w:r>
        <w:fldChar w:fldCharType="end"/>
      </w:r>
    </w:p>
  </w:footnote>
  <w:footnote w:id="6">
    <w:p w14:paraId="7DADE548" w14:textId="61F35B7B"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{"citationID":"nBuvQ1ce","properties":{"formattedCitation":"Karl Popper, {\\i{}The Logic of Scientific Discovery} (Routledge, 2005).","plainCitation":"Karl Popper, The Logic of Scientific Discovery (Routledge, 2005).","noteIndex":6},"citationItems":[{"id":1894,"uris":["http://zotero.org/users/local/JUiY319R/items/6L4A267P"],"itemData":{"id":1894,"type":"book","abstract":"Described by the philosopher A.J. Ayer as a work of 'great originality and power', this book revolutionized contemporary thinking on science and knowledge. Ideas such as the now legendary doctrine of 'falsificationism' electrified the scientific community, influencing even working scientists, as well as post-war philosophy. This astonishing work ranks alongside The Open Society and Its Enemies as one of Popper's most enduring books and contains insights and arguments that demand to be read to this day.","ISBN":"978-1-134-47002-0","language":"en","note":"Google-Books-ID: LWSBAgAAQBAJ","number-of-pages":"545","publisher":"Routledge","source":"Google Books","title":"The Logic of Scientific Discovery","author":[{"family":"Popper","given":"Karl"}],"issued":{"date-parts":[["2005",11,4]]}}}],"schema":"https://github.com/citation-style-language/schema/raw/master/csl-citation.json"} </w:instrText>
      </w:r>
      <w:r>
        <w:fldChar w:fldCharType="separate"/>
      </w:r>
      <w:r w:rsidRPr="005668FB">
        <w:rPr>
          <w:rFonts w:cs="Times New Roman"/>
        </w:rPr>
        <w:t xml:space="preserve">Karl Popper, </w:t>
      </w:r>
      <w:r w:rsidRPr="005668FB">
        <w:rPr>
          <w:rFonts w:cs="Times New Roman"/>
          <w:i/>
          <w:iCs/>
        </w:rPr>
        <w:t>The Logic of Scientific Discovery</w:t>
      </w:r>
      <w:r w:rsidRPr="005668FB">
        <w:rPr>
          <w:rFonts w:cs="Times New Roman"/>
        </w:rPr>
        <w:t xml:space="preserve"> (Routledge, 2005).</w:t>
      </w:r>
      <w:r>
        <w:fldChar w:fldCharType="end"/>
      </w:r>
    </w:p>
  </w:footnote>
  <w:footnote w:id="7">
    <w:p w14:paraId="08C59A69" w14:textId="5BADC836"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{"citationID":"up9LHPT5","properties":{"formattedCitation":"Imre Lakatos, {\\i{}The Methodology of Scientific Research Programmes: Philosophical Papers}, vol. 1, ed. by John Worrall and Gregory Currie (Cambridge: Cambridge University Press, 1978), https://www.cambridge.org/core/books/methodology-of-scientific-research-programmes/8DBCEFE34A59BAD3D393FB958A4DC5FC, accessed 18 May 2026.","plainCitation":"Imre Lakatos, The Methodology of Scientific Research Programmes: Philosophical Papers, vol. 1, ed. by John Worrall and Gregory Currie (Cambridge: Cambridge University Press, 1978), https://www.cambridge.org/core/books/methodology-of-scientific-research-programmes/8DBCEFE34A59BAD3D393FB958A4DC5FC, accessed 18 May 2026.","noteIndex":7},"citationItems":[{"id":1883,"uris":["http://zotero.org/users/local/JUiY319R/items/FS892PIF"],"itemData":{"id":1883,"type":"book","abstract":"Imre Lakatos' philosophical and scientific papers are published here in two volumes. Volume I brings together his very influential but scattered papers on the philosophy of the physical sciences, and includes one important unpublished essay on the effect of Newton's scientific achievement. Volume II presents his work on the philosophy of mathematics (much of it unpublished), together with some critical essays on contemporary philosophers of science and some famous polemical writings on political and educational issues. Imre Lakatos had an influence out of all proportion to the length of his philosophical career. This collection exhibits and confirms the originality, range and the essential unity of his work. It demonstrates too the force and spirit he brought to every issue with which he engaged, from his most abstract mathematical work to his passionate 'Letter to the director of the LSE'. Lakatos' ideas are now the focus of widespread and increasing interest, and these volumes should make possible for the first time their study as a whole and their proper assessment.","event-place":"Cambridge","ISBN":"978-0-521-28031-0","note":"DOI: 10.1017/CBO9780511621123","publisher":"Cambridge University Press","publisher-place":"Cambridge","source":"Cambridge University Press","title":"The Methodology of Scientific Research Programmes: Philosophical Papers","title-short":"The Methodology of Scientific Research Programmes","URL":"https://www.cambridge.org/core/books/methodology-of-scientific-research-programmes/8DBCEFE34A59BAD3D393FB958A4DC5FC","volume":"1","editor":[{"family":"Worrall","given":"John"},{"family":"Currie","given":"Gregory"}],"author":[{"family":"Lakatos","given":"Imre"}],"accessed":{"date-parts":[["2026",5,18]]},"issued":{"date-parts":[["1978"]]}}}],"schema":"https://github.com/citation-style-language/schema/raw/master/csl-citation.json"} </w:instrText>
      </w:r>
      <w:r>
        <w:fldChar w:fldCharType="separate"/>
      </w:r>
      <w:r w:rsidRPr="005668FB">
        <w:rPr>
          <w:rFonts w:cs="Times New Roman"/>
        </w:rPr>
        <w:t xml:space="preserve">Imre Lakatos, </w:t>
      </w:r>
      <w:r w:rsidRPr="005668FB">
        <w:rPr>
          <w:rFonts w:cs="Times New Roman"/>
          <w:i/>
          <w:iCs/>
        </w:rPr>
        <w:t xml:space="preserve">The Methodology of Scientific Research </w:t>
      </w:r>
      <w:proofErr w:type="spellStart"/>
      <w:r w:rsidRPr="005668FB">
        <w:rPr>
          <w:rFonts w:cs="Times New Roman"/>
          <w:i/>
          <w:iCs/>
        </w:rPr>
        <w:t>Programmes</w:t>
      </w:r>
      <w:proofErr w:type="spellEnd"/>
      <w:r w:rsidRPr="005668FB">
        <w:rPr>
          <w:rFonts w:cs="Times New Roman"/>
          <w:i/>
          <w:iCs/>
        </w:rPr>
        <w:t>: Philosophical Papers</w:t>
      </w:r>
      <w:r w:rsidRPr="005668FB">
        <w:rPr>
          <w:rFonts w:cs="Times New Roman"/>
        </w:rPr>
        <w:t>, vol. 1, ed. by John Worrall and Gregory Currie (Cambridge: Cambridge University Press, 1978), https://www.cambridge.org/core/books/methodology-of-scientific-research-programmes/8DBCEFE34A59BAD3D393FB958A4DC5FC, accessed 18 May 2026.</w:t>
      </w:r>
      <w:r>
        <w:fldChar w:fldCharType="end"/>
      </w:r>
    </w:p>
  </w:footnote>
  <w:footnote w:id="8">
    <w:p w14:paraId="10D00A31" w14:textId="212650DA"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{"citationID":"QWys1FqK","properties":{"formattedCitation":"W.V. Quine, \\uc0\\u8220{}Main Trends in Recent Philosophy: Two Dogmas of Empiricism\\uc0\\u8221{}, {\\i{}The Philosophical Review}, vol. 60, no. 1 ([Duke University Press, Philosophical Review], 1951), pp. 20\\uc0\\u8211{}43.","plainCitation":"W.V. Quine, “Main Trends in Recent Philosophy: Two Dogmas of Empiricism”, The Philosophical Review, vol. 60, no. 1 ([Duke University Press, Philosophical Review], 1951), pp. 20–43.","noteIndex":8},"citationItems":[{"id":1867,"uris":["http://zotero.org/users/local/JUiY319R/items/AHZF7EH3"],"itemData":{"id":1867,"type":"article-journal","container-title":"The Philosophical Review","DOI":"10.2307/2181906","ISSN":"0031-8108","issue":"1","note":"publisher: [Duke University Press, Philosophical Review]","page":"20-43","source":"JSTOR","title":"Main Trends in Recent Philosophy: Two Dogmas of Empiricism","title-short":"Main Trends in Recent Philosophy","volume":"60","author":[{"family":"Quine","given":"W. V."}],"issued":{"date-parts":[["1951"]]}}}],"schema":"https://github.com/citation-style-language/schema/raw/master/csl-citation.json"} </w:instrText>
      </w:r>
      <w:r>
        <w:fldChar w:fldCharType="separate"/>
      </w:r>
      <w:r w:rsidRPr="005668FB">
        <w:rPr>
          <w:rFonts w:cs="Times New Roman"/>
        </w:rPr>
        <w:t xml:space="preserve">W.V. Quine, “Main Trends in Recent Philosophy: Two Dogmas of Empiricism”, </w:t>
      </w:r>
      <w:r w:rsidRPr="005668FB">
        <w:rPr>
          <w:rFonts w:cs="Times New Roman"/>
          <w:i/>
          <w:iCs/>
        </w:rPr>
        <w:t>The Philosophical Review</w:t>
      </w:r>
      <w:r w:rsidRPr="005668FB">
        <w:rPr>
          <w:rFonts w:cs="Times New Roman"/>
        </w:rPr>
        <w:t>, vol. 60, no. 1 ([Duke University Press, Philosophical Review], 1951), pp. 20–43.</w:t>
      </w:r>
      <w:r>
        <w:fldChar w:fldCharType="end"/>
      </w:r>
    </w:p>
  </w:footnote>
  <w:footnote w:id="9">
    <w:p w14:paraId="2D3E5902" w14:textId="6F078BBE"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{"citationID":"LnXGHAMS","properties":{"formattedCitation":"Oliver Leaman, {\\i{}Averroes and His Philosophy} (Psychology Press, 1998).","plainCitation":"Oliver Leaman, Averroes and His Philosophy (Psychology Press, 1998).","noteIndex":9},"citationItems":[{"id":1884,"uris":["http://zotero.org/users/local/JUiY319R/items/AR9KGXP6"],"itemData":{"id":1884,"type":"book","abstract":"Despite his important stature in the history of philosophy, Averroes is a thinker whose work has been left largely unexplored in this century. It is the aim of this book to rectify this omission, and to argue that his philosophical output is of considerable philosophical as well as historical significance.","ISBN":"978-0-7007-0675-4","language":"en","note":"Google-Books-ID: k8le4kCxWzcC","number-of-pages":"224","publisher":"Psychology Press","source":"Google Books","title":"Averroes and His Philosophy","author":[{"family":"Leaman","given":"Oliver"}],"issued":{"date-parts":[["1998"]]}}}],"schema":"https://github.com/citation-style-language/schema/raw/master/csl-citation.json"} </w:instrText>
      </w:r>
      <w:r>
        <w:fldChar w:fldCharType="separate"/>
      </w:r>
      <w:r w:rsidRPr="005668FB">
        <w:rPr>
          <w:rFonts w:cs="Times New Roman"/>
        </w:rPr>
        <w:t xml:space="preserve">Oliver Leaman, </w:t>
      </w:r>
      <w:r w:rsidRPr="005668FB">
        <w:rPr>
          <w:rFonts w:cs="Times New Roman"/>
          <w:i/>
          <w:iCs/>
        </w:rPr>
        <w:t>Averroes and His Philosophy</w:t>
      </w:r>
      <w:r w:rsidRPr="005668FB">
        <w:rPr>
          <w:rFonts w:cs="Times New Roman"/>
        </w:rPr>
        <w:t xml:space="preserve"> (Psychology Press, 1998).</w:t>
      </w:r>
      <w:r>
        <w:fldChar w:fldCharType="end"/>
      </w:r>
    </w:p>
  </w:footnote>
  <w:footnote w:id="10">
    <w:p w14:paraId="10F5E572" w14:textId="21B0C0B9"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{"citationID":"I3kVaPSV","properties":{"formattedCitation":"M. Amin Abdullah, {\\i{}Islamic studies di perguruan tinggi: pendekatan integratif-interkonektif} (P. Pelajar, 2006).","plainCitation":"M. Amin Abdullah, Islamic studies di perguruan tinggi: pendekatan integratif-interkonektif (P. Pelajar, 2006).","noteIndex":10},"citationItems":[{"id":1874,"uris":["http://zotero.org/users/local/JUiY319R/items/X5REMHWC"],"itemData":{"id":1874,"type":"book","ISBN":"9799792458151","language":"ms","note":"Google-Books-ID: D024AQAACAAJ","number-of-pages":"434","publisher":"P. Pelajar","source":"Google Books","title":"Islamic studies di perguruan tinggi: pendekatan integratif-interkonektif","title-short":"Islamic studies di perguruan tinggi","author":[{"family":"Abdullah","given":"M. Amin"}],"issued":{"date-parts":[["2006"]]}}}],"schema":"https://github.com/citation-style-language/schema/raw/master/csl-citation.json"} </w:instrText>
      </w:r>
      <w:r>
        <w:fldChar w:fldCharType="separate"/>
      </w:r>
      <w:r w:rsidRPr="005668FB">
        <w:rPr>
          <w:rFonts w:cs="Times New Roman"/>
        </w:rPr>
        <w:t xml:space="preserve">M. Amin Abdullah, </w:t>
      </w:r>
      <w:r w:rsidRPr="005668FB">
        <w:rPr>
          <w:rFonts w:cs="Times New Roman"/>
          <w:i/>
          <w:iCs/>
        </w:rPr>
        <w:t xml:space="preserve">Islamic studies di </w:t>
      </w:r>
      <w:proofErr w:type="spellStart"/>
      <w:r w:rsidRPr="005668FB">
        <w:rPr>
          <w:rFonts w:cs="Times New Roman"/>
          <w:i/>
          <w:iCs/>
        </w:rPr>
        <w:t>perguruan</w:t>
      </w:r>
      <w:proofErr w:type="spellEnd"/>
      <w:r w:rsidRPr="005668FB">
        <w:rPr>
          <w:rFonts w:cs="Times New Roman"/>
          <w:i/>
          <w:iCs/>
        </w:rPr>
        <w:t xml:space="preserve"> </w:t>
      </w:r>
      <w:proofErr w:type="spellStart"/>
      <w:r w:rsidRPr="005668FB">
        <w:rPr>
          <w:rFonts w:cs="Times New Roman"/>
          <w:i/>
          <w:iCs/>
        </w:rPr>
        <w:t>tinggi</w:t>
      </w:r>
      <w:proofErr w:type="spellEnd"/>
      <w:r w:rsidRPr="005668FB">
        <w:rPr>
          <w:rFonts w:cs="Times New Roman"/>
          <w:i/>
          <w:iCs/>
        </w:rPr>
        <w:t xml:space="preserve">: </w:t>
      </w:r>
      <w:proofErr w:type="spellStart"/>
      <w:r w:rsidRPr="005668FB">
        <w:rPr>
          <w:rFonts w:cs="Times New Roman"/>
          <w:i/>
          <w:iCs/>
        </w:rPr>
        <w:t>pendekatan</w:t>
      </w:r>
      <w:proofErr w:type="spellEnd"/>
      <w:r w:rsidRPr="005668FB">
        <w:rPr>
          <w:rFonts w:cs="Times New Roman"/>
          <w:i/>
          <w:iCs/>
        </w:rPr>
        <w:t xml:space="preserve"> </w:t>
      </w:r>
      <w:proofErr w:type="spellStart"/>
      <w:r w:rsidRPr="005668FB">
        <w:rPr>
          <w:rFonts w:cs="Times New Roman"/>
          <w:i/>
          <w:iCs/>
        </w:rPr>
        <w:t>integratif-interkonektif</w:t>
      </w:r>
      <w:proofErr w:type="spellEnd"/>
      <w:r w:rsidRPr="005668FB">
        <w:rPr>
          <w:rFonts w:cs="Times New Roman"/>
        </w:rPr>
        <w:t xml:space="preserve"> (P. </w:t>
      </w:r>
      <w:proofErr w:type="spellStart"/>
      <w:r w:rsidRPr="005668FB">
        <w:rPr>
          <w:rFonts w:cs="Times New Roman"/>
        </w:rPr>
        <w:t>Pelajar</w:t>
      </w:r>
      <w:proofErr w:type="spellEnd"/>
      <w:r w:rsidRPr="005668FB">
        <w:rPr>
          <w:rFonts w:cs="Times New Roman"/>
        </w:rPr>
        <w:t>, 2006).</w:t>
      </w:r>
      <w:r>
        <w:fldChar w:fldCharType="end"/>
      </w:r>
    </w:p>
  </w:footnote>
  <w:footnote w:id="11">
    <w:p w14:paraId="7695F54C" w14:textId="0FB69B51"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{"citationID":"lbMzMQ8G","properties":{"formattedCitation":"Jonathan A.C. Brown, {\\i{}Hadith: Muhammad\\uc0\\u8217{}s Legacy in the Medieval and Modern World} (Oneworld, 2009).","plainCitation":"Jonathan A.C. Brown, Hadith: Muhammad’s Legacy in the Medieval and Modern World (Oneworld, 2009).","noteIndex":11},"citationItems":[{"id":1881,"uris":["http://zotero.org/users/local/JUiY319R/items/NDDSC28R"],"itemData":{"id":1881,"type":"book","abstract":"Contrary to popular opinion, the bulk of Islamic law does not come from the Qur¿an but rather from hadith, first-hand reports of the prophet Muhammad¿s words and deeds, passed from generation to generation. However, with varying accounts often only committed to paper a century after the death of Muhammad, Islamic scholars, past and present, have been faced with complex questions of historical authenticity. Informative and accessible, this wide-ranging introduction provides a detailed exploration of the collection and criticism of hadith and examines the controversy surrounding its role in modern Islam. Complete with a glossary, extensive bibliography, and helpful diagrams, Hadith: An Introduction is perfectly suited to students, scholars, and the general reader interested in this critical element of Islam.","ISBN":"978-1-85168-696-4","language":"en","note":"Google-Books-ID: 7S4KAQAAMAAJ","number-of-pages":"328","publisher":"Oneworld","source":"Google Books","title":"Hadith: Muhammad's Legacy in the Medieval and Modern World","title-short":"Hadith","author":[{"family":"Brown","given":"Jonathan A. C."}],"issued":{"date-parts":[["2009"]]}}}],"schema":"https://github.com/citation-style-language/schema/raw/master/csl-citation.json"} </w:instrText>
      </w:r>
      <w:r>
        <w:fldChar w:fldCharType="separate"/>
      </w:r>
      <w:r w:rsidRPr="005668FB">
        <w:rPr>
          <w:rFonts w:cs="Times New Roman"/>
        </w:rPr>
        <w:t xml:space="preserve">Jonathan A.C. Brown, </w:t>
      </w:r>
      <w:r w:rsidRPr="005668FB">
        <w:rPr>
          <w:rFonts w:cs="Times New Roman"/>
          <w:i/>
          <w:iCs/>
        </w:rPr>
        <w:t>Hadith: Muhammad’s Legacy in the Medieval and Modern World</w:t>
      </w:r>
      <w:r w:rsidRPr="005668FB">
        <w:rPr>
          <w:rFonts w:cs="Times New Roman"/>
        </w:rPr>
        <w:t xml:space="preserve"> (Oneworld, 2009).</w:t>
      </w:r>
      <w:r>
        <w:fldChar w:fldCharType="end"/>
      </w:r>
    </w:p>
  </w:footnote>
  <w:footnote w:id="12">
    <w:p w14:paraId="37E5FC02" w14:textId="05EEB02F" w:rsidR="005668FB" w:rsidRPr="005668FB" w:rsidRDefault="005668FB"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{"citationID":"kXpgke2D","properties":{"formattedCitation":"Gary R. Bunt, {\\i{}Hashtag Islam: How Cyber-Islamic Environments Are Transforming Religious Authority} (Chapel Hill (N.C.): The University of North Carolina Press, 2018).","plainCitation":"Gary R. Bunt, Hashtag Islam: How Cyber-Islamic Environments Are Transforming Religious Authority (Chapel Hill (N.C.): The University of North Carolina Press, 2018).","noteIndex":12},"citationItems":[{"id":1900,"uris":["http://zotero.org/users/local/JUiY319R/items/UEKSS3DS"],"itemData":{"id":1900,"type":"book","abstract":"Gary R. Bunt is a twenty-year pioneer in the study of cyber-Islamic environments (CIEs). In his new book, Bunt explores the diverse and surprising ways digital technology is shaping how Muslims across vast territories relate to religious authorities in fulfilling spiritual, mystical, and legalistic agendas. From social networks to websites, essential elements of religious practices and authority now have representation online. Muslims, embracing the immediacy and general accessibility of the internet, are increasingly turning to cyberspace for advice and answers to important religious questions. Online environments often challenge traditional models of authority, however. One result is the rise of digitally literate religious scholars and authorities whose influence and impact go beyond traditional boundaries of imams, mullahs, and shaikhs.Bunt shows how online rhetoric and social media are being used to articulate religious faith by many different kinds of Muslim organizations and individuals, from Muslim comedians and women’s rights advocates to jihad-oriented groups, such as the “Islamic State” and al-Qaeda, which now clearly rely on strategic digital media policies to augment and justify their authority and draw recruits. This book makes clear that understanding CIEs is crucial for the holistic interpretation of authority in contemporary Islam.","event-place":"Chapel Hill (N.C.)","ISBN":"978-1-4696-4317-5","language":"English","number-of-pages":"317","publisher":"The University of North Carolina Press","publisher-place":"Chapel Hill (N.C.)","source":"Amazon","title":"Hashtag Islam: How Cyber-Islamic Environments Are Transforming Religious Authority","title-short":"Hashtag Islam","author":[{"family":"Bunt","given":"Gary R."}],"issued":{"date-parts":[["2018"]]}}}],"schema":"https://github.com/citation-style-language/schema/raw/master/csl-citation.json"} </w:instrText>
      </w:r>
      <w:r>
        <w:fldChar w:fldCharType="separate"/>
      </w:r>
      <w:r w:rsidRPr="005668FB">
        <w:rPr>
          <w:rFonts w:cs="Times New Roman"/>
        </w:rPr>
        <w:t xml:space="preserve">Gary R. Bunt, </w:t>
      </w:r>
      <w:r w:rsidRPr="005668FB">
        <w:rPr>
          <w:rFonts w:cs="Times New Roman"/>
          <w:i/>
          <w:iCs/>
        </w:rPr>
        <w:t>Hashtag Islam: How Cyber-Islamic Environments Are Transforming Religious Authority</w:t>
      </w:r>
      <w:r w:rsidRPr="005668FB">
        <w:rPr>
          <w:rFonts w:cs="Times New Roman"/>
        </w:rPr>
        <w:t xml:space="preserve"> (Chapel Hill (N.C.): The University of North Carolina Press, 2018).</w:t>
      </w:r>
      <w:r>
        <w:fldChar w:fldCharType="end"/>
      </w:r>
    </w:p>
  </w:footnote>
  <w:footnote w:id="13">
    <w:p w14:paraId="103CB593" w14:textId="01EB6130" w:rsidR="00434CAE" w:rsidRPr="00434CAE" w:rsidRDefault="00434CAE" w:rsidP="00434CAE">
      <w:pPr>
        <w:pStyle w:val="TeksCatatanKaki"/>
        <w:jc w:val="both"/>
        <w:rPr>
          <w:lang w:val="id-ID"/>
        </w:rPr>
      </w:pPr>
      <w:r>
        <w:rPr>
          <w:rStyle w:val="ReferensiCatatanKaki"/>
        </w:rPr>
        <w:footnoteRef/>
      </w:r>
      <w:r>
        <w:t xml:space="preserve"> </w:t>
      </w:r>
      <w:r>
        <w:fldChar w:fldCharType="begin"/>
      </w:r>
      <w:r>
        <w:instrText xml:space="preserve"> ADDIN ZOTERO_ITEM CSL_CITATION {"citationID":"neaxkv1d","properties":{"formattedCitation":"Gordon Pennycook, Tyrone D. Cannon, and David G. Rand, \\uc0\\u8220{}Prior exposure increases perceived accuracy of fake news\\uc0\\u8221{}, {\\i{}Journal of experimental psychology. General}, vol. 147, no. 12 (2018), pp. 1865\\uc0\\u8211{}80.","plainCitation":"Gordon Pennycook, Tyrone D. Cannon, and David G. Rand, “Prior exposure increases perceived accuracy of fake news”, Journal of experimental psychology. General, vol. 147, no. 12 (2018), pp. 1865–80.","noteIndex":13},"citationItems":[{"id":1904,"uris":["http://zotero.org/users/local/JUiY319R/items/736EJ76L"],"itemData":{"id":1904,"type":"article-journal","abstract":"The 2016 US Presidential Election brought considerable attention to the phenomenon of “fake news”: entirely fabricated and often partisan content that is presented as factual. Here we demonstrate one mechanism that contributes to the believability of fake news: fluency via prior exposure. Using actual fake news headlines presented as they were seen on Facebook, we show that even a single exposure increases subsequent perceptions of accuracy, both within the same session and after a week. Moreover, this “illusory truth effect” for fake news headlines occurs despite a low level of overall believability, and even when the stories are labeled as contested by fact checkers or are inconsistent with the reader’s political ideology. These results suggest that social media platforms help to incubate belief in blatantly false news stories, and that tagging such stories as disputed is not an effective solution to this problem. Interestingly, however, we also find that prior exposure does not impact entirely implausible statements (e.g., “The Earth is a perfect square”). These observations indicate that although extreme implausibility is a boundary condition of the illusory truth effect, only a small degree of potential plausibility is sufficient for repetition to increase perceived accuracy. As a consequence, the scope and impact of repetition on beliefs is greater than previously assumed.","container-title":"Journal of experimental psychology. General","DOI":"10.1037/xge0000465","ISSN":"0096-3445","issue":"12","journalAbbreviation":"J Exp Psychol Gen","note":"PMID: 30247057\nPMCID: PMC6279465","page":"1865-1880","source":"PubMed Central","title":"Prior exposure increases perceived accuracy of fake news","volume":"147","author":[{"family":"Pennycook","given":"Gordon"},{"family":"Cannon","given":"Tyrone D."},{"family":"Rand","given":"David G."}],"issued":{"date-parts":[["2018",12]]}}}],"schema":"https://github.com/citation-style-language/schema/raw/master/csl-citation.json"} </w:instrText>
      </w:r>
      <w:r>
        <w:fldChar w:fldCharType="separate"/>
      </w:r>
      <w:r w:rsidRPr="00434CAE">
        <w:rPr>
          <w:rFonts w:cs="Times New Roman"/>
        </w:rPr>
        <w:t xml:space="preserve">Gordon Pennycook, Tyrone D. Cannon, and David G. Rand, “Prior exposure increases perceived accuracy of fake news”, </w:t>
      </w:r>
      <w:r w:rsidRPr="00434CAE">
        <w:rPr>
          <w:rFonts w:cs="Times New Roman"/>
          <w:i/>
          <w:iCs/>
        </w:rPr>
        <w:t>Journal of experimental psychology. General</w:t>
      </w:r>
      <w:r w:rsidRPr="00434CAE">
        <w:rPr>
          <w:rFonts w:cs="Times New Roman"/>
        </w:rPr>
        <w:t>, vol. 147, no. 12 (2018), pp. 1865–80.</w:t>
      </w:r>
      <w:r>
        <w:fldChar w:fldCharType="end"/>
      </w:r>
    </w:p>
  </w:footnote>
  <w:footnote w:id="14">
    <w:p w14:paraId="2769A097" w14:textId="08CFE25F" w:rsidR="00434CAE" w:rsidRPr="00434CAE" w:rsidRDefault="00434CAE">
      <w:pPr>
        <w:pStyle w:val="TeksCatatanKaki"/>
        <w:rPr>
          <w:lang w:val="id-ID"/>
        </w:rPr>
      </w:pPr>
      <w:r>
        <w:rPr>
          <w:rStyle w:val="ReferensiCatatanKaki"/>
        </w:rPr>
        <w:footnoteRef/>
      </w:r>
      <w:r>
        <w:t xml:space="preserve"> </w:t>
      </w:r>
      <w:r>
        <w:fldChar w:fldCharType="begin"/>
      </w:r>
      <w:r>
        <w:instrText xml:space="preserve"> ADDIN ZOTERO_ITEM CSL_CITATION {"citationID":"rjZjwm8f","properties":{"formattedCitation":"Ludwig Wittgenstein, {\\i{}Philosophical Investigations}, ed. by P.M.S. Hacker and Joachim Schulte (Chichester, West Sussex, U.K Malden, MA: Wiley-Blackwell, 2010).","plainCitation":"Ludwig Wittgenstein, Philosophical Investigations, ed. by P.M.S. Hacker and Joachim Schulte (Chichester, West Sussex, U.K Malden, MA: Wiley-Blackwell, 2010).","noteIndex":14},"citationItems":[{"id":1892,"uris":["http://zotero.org/users/local/JUiY319R/items/U9YUIEAY"],"itemData":{"id":1892,"type":"book","abstract":"Philosophical Investigations New editions of the Commentary on Wittgenstein’s Philosophical Investigations from Wiley-Blackwell Wittgenstein: Understanding and Meaning, Volume 1 of An Analytical Commentary on the Philosophical Investigations Part I: Essays G. P. Baker and P. M. S. Hacker Second, extensively revised edition by P. M. S. Hacker Wittgenstein: Understanding and Meaning, Volume 1 of An Analytical Commentary on the Philosophical Investigations Part II: Exegesis §§1–184 G. P. Baker and P. M. S. Hacker Second, extensively revised edition by P. M. S. Hacker Wittgenstein: Rules, Grammar and Necessity, Volume 2 of An Analytical Commentary on the Philosophical Investigations Essays and Exegesis of §§185–242 G. P. Baker and P. M. S. Hacker Second, extensively revised edition by P. M. S. Hacker Immediately upon its posthumous publication in 1953, Ludwig Wittgenstein’s Philosophical Investigations was hailed as a masterpiece, and the ensuing years have confirmed this initial assessment. Today it is widely acknowledged to be the single most important philosophical work of the twentieth century. In this definitive new en face German-English edition, Wittgenstein experts Peter Hacker and Joachim Schulte have incorporated significant editorial changes to earlier editions of Philosophical Investigations in order to reflect more closely Wittgenstein’s original intentions. Notable revisions include the placement of Wittgenstein’s notes – Randbemerkungen – into their designated positions in the text, some corrections to the originally published German text, and the numbering of all the remarks in what was called Part 2 and is now named Philosophy of Psychology – A Fragment. Extensive modifications and corrections have also been made to G. E. M. Anscombe’s original English translation. Detailed editorial endnotes have been added to illuminate difficult translation decisions and to identify references and allusions in Wittgenstein’s original text.","event-place":"Chichester, West Sussex, U.K Malden, MA","ISBN":"978-1-4051-5929-6","language":"English","number-of-pages":"592","publisher":"Wiley-Blackwell","publisher-place":"Chichester, West Sussex, U.K Malden, MA","source":"Amazon","title":"Philosophical Investigations","author":[{"family":"Wittgenstein","given":"Ludwig"}],"editor":[{"family":"Hacker","given":"P. M. S."},{"family":"Schulte","given":"Joachim"}],"issued":{"date-parts":[["2010"]]}}}],"schema":"https://github.com/citation-style-language/schema/raw/master/csl-citation.json"} </w:instrText>
      </w:r>
      <w:r>
        <w:fldChar w:fldCharType="separate"/>
      </w:r>
      <w:r w:rsidRPr="00434CAE">
        <w:rPr>
          <w:rFonts w:cs="Times New Roman"/>
        </w:rPr>
        <w:t xml:space="preserve">Ludwig Wittgenstein, </w:t>
      </w:r>
      <w:r w:rsidRPr="00434CAE">
        <w:rPr>
          <w:rFonts w:cs="Times New Roman"/>
          <w:i/>
          <w:iCs/>
        </w:rPr>
        <w:t>Philosophical Investigations</w:t>
      </w:r>
      <w:r w:rsidRPr="00434CAE">
        <w:rPr>
          <w:rFonts w:cs="Times New Roman"/>
        </w:rPr>
        <w:t>, ed. by P.M.S. Hacker and Joachim Schulte (Chichester, West Sussex, U.K Malden, MA: Wiley-Blackwell, 2010).</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A29F" w14:textId="77777777" w:rsidR="009014E2" w:rsidRDefault="009014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AC1C" w14:textId="77777777" w:rsidR="009014E2" w:rsidRDefault="009014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F1A69" w14:textId="77777777" w:rsidR="009014E2" w:rsidRDefault="0090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2E2"/>
    <w:multiLevelType w:val="hybridMultilevel"/>
    <w:tmpl w:val="541898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3617B"/>
    <w:multiLevelType w:val="multilevel"/>
    <w:tmpl w:val="E618C6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9255D9C"/>
    <w:multiLevelType w:val="hybridMultilevel"/>
    <w:tmpl w:val="65D625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09370">
    <w:abstractNumId w:val="0"/>
  </w:num>
  <w:num w:numId="2" w16cid:durableId="1515683134">
    <w:abstractNumId w:val="2"/>
  </w:num>
  <w:num w:numId="3" w16cid:durableId="1757550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jI0tLC0NDY3MLBU0lEKTi0uzszPAykwqQUAwXWRFiwAAAA="/>
  </w:docVars>
  <w:rsids>
    <w:rsidRoot w:val="00457F30"/>
    <w:rsid w:val="00020211"/>
    <w:rsid w:val="00021A0B"/>
    <w:rsid w:val="00083DA3"/>
    <w:rsid w:val="0009297C"/>
    <w:rsid w:val="000A54CF"/>
    <w:rsid w:val="000F2476"/>
    <w:rsid w:val="00146603"/>
    <w:rsid w:val="00146A14"/>
    <w:rsid w:val="001A2839"/>
    <w:rsid w:val="001A3193"/>
    <w:rsid w:val="001A5DEA"/>
    <w:rsid w:val="001C4D08"/>
    <w:rsid w:val="001E6D21"/>
    <w:rsid w:val="00205AE3"/>
    <w:rsid w:val="00222A6E"/>
    <w:rsid w:val="00237B95"/>
    <w:rsid w:val="00264F33"/>
    <w:rsid w:val="002A7B66"/>
    <w:rsid w:val="00306E82"/>
    <w:rsid w:val="003114EF"/>
    <w:rsid w:val="0032692A"/>
    <w:rsid w:val="00374856"/>
    <w:rsid w:val="003A7F09"/>
    <w:rsid w:val="003C0283"/>
    <w:rsid w:val="003C78F9"/>
    <w:rsid w:val="003F7114"/>
    <w:rsid w:val="0040610B"/>
    <w:rsid w:val="00434CAE"/>
    <w:rsid w:val="00457F30"/>
    <w:rsid w:val="0047350E"/>
    <w:rsid w:val="004B09D8"/>
    <w:rsid w:val="004B5761"/>
    <w:rsid w:val="0050563E"/>
    <w:rsid w:val="00516E18"/>
    <w:rsid w:val="005668FB"/>
    <w:rsid w:val="005E4E0E"/>
    <w:rsid w:val="006056C4"/>
    <w:rsid w:val="006157C3"/>
    <w:rsid w:val="0064705D"/>
    <w:rsid w:val="006C5593"/>
    <w:rsid w:val="007253DE"/>
    <w:rsid w:val="0073714D"/>
    <w:rsid w:val="0079297A"/>
    <w:rsid w:val="007B2CAA"/>
    <w:rsid w:val="007E7856"/>
    <w:rsid w:val="007F4628"/>
    <w:rsid w:val="00864C5F"/>
    <w:rsid w:val="0088345E"/>
    <w:rsid w:val="008D6113"/>
    <w:rsid w:val="009014E2"/>
    <w:rsid w:val="00936CDC"/>
    <w:rsid w:val="00972617"/>
    <w:rsid w:val="009B5CED"/>
    <w:rsid w:val="009E649E"/>
    <w:rsid w:val="00A1004D"/>
    <w:rsid w:val="00A854F8"/>
    <w:rsid w:val="00A87DCA"/>
    <w:rsid w:val="00B20BDA"/>
    <w:rsid w:val="00B256C4"/>
    <w:rsid w:val="00B313E2"/>
    <w:rsid w:val="00B62944"/>
    <w:rsid w:val="00BA15D3"/>
    <w:rsid w:val="00BA797B"/>
    <w:rsid w:val="00BF6B8E"/>
    <w:rsid w:val="00BF7FF2"/>
    <w:rsid w:val="00CA6E0F"/>
    <w:rsid w:val="00D07B47"/>
    <w:rsid w:val="00D12966"/>
    <w:rsid w:val="00D3358D"/>
    <w:rsid w:val="00D5323B"/>
    <w:rsid w:val="00D534D5"/>
    <w:rsid w:val="00D53682"/>
    <w:rsid w:val="00D95505"/>
    <w:rsid w:val="00E15F51"/>
    <w:rsid w:val="00E32BCD"/>
    <w:rsid w:val="00E446E9"/>
    <w:rsid w:val="00E46C05"/>
    <w:rsid w:val="00E82DFF"/>
    <w:rsid w:val="00EB3770"/>
    <w:rsid w:val="00F04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DF1DD"/>
  <w15:docId w15:val="{DC9DF239-D375-41FD-996E-6D4E00E9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ia2014" w:eastAsiaTheme="minorHAnsi" w:hAnsi="Jamia2014" w:cs="Naskh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rsid w:val="001E6D21"/>
    <w:pPr>
      <w:ind w:left="720"/>
      <w:contextualSpacing/>
    </w:pPr>
  </w:style>
  <w:style w:type="paragraph" w:styleId="TeksCatatanKaki">
    <w:name w:val="footnote text"/>
    <w:basedOn w:val="Normal"/>
    <w:link w:val="TeksCatatanKakiKAR"/>
    <w:uiPriority w:val="99"/>
    <w:semiHidden/>
    <w:unhideWhenUsed/>
    <w:rsid w:val="00146A14"/>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146A14"/>
    <w:rPr>
      <w:sz w:val="20"/>
      <w:szCs w:val="20"/>
    </w:rPr>
  </w:style>
  <w:style w:type="character" w:styleId="ReferensiCatatanKaki">
    <w:name w:val="footnote reference"/>
    <w:basedOn w:val="FontParagrafDefault"/>
    <w:uiPriority w:val="99"/>
    <w:semiHidden/>
    <w:unhideWhenUsed/>
    <w:rsid w:val="00146A14"/>
    <w:rPr>
      <w:vertAlign w:val="superscript"/>
    </w:rPr>
  </w:style>
  <w:style w:type="paragraph" w:styleId="Bibliografi">
    <w:name w:val="Bibliography"/>
    <w:basedOn w:val="Normal"/>
    <w:next w:val="Normal"/>
    <w:link w:val="BibliografiKAR"/>
    <w:uiPriority w:val="37"/>
    <w:unhideWhenUsed/>
    <w:rsid w:val="001C4D08"/>
    <w:pPr>
      <w:spacing w:after="240" w:line="240" w:lineRule="auto"/>
      <w:ind w:left="720" w:hanging="720"/>
    </w:pPr>
  </w:style>
  <w:style w:type="paragraph" w:styleId="Header">
    <w:name w:val="header"/>
    <w:basedOn w:val="Normal"/>
    <w:link w:val="HeaderKAR"/>
    <w:uiPriority w:val="99"/>
    <w:unhideWhenUsed/>
    <w:rsid w:val="009014E2"/>
    <w:pPr>
      <w:tabs>
        <w:tab w:val="center" w:pos="4320"/>
        <w:tab w:val="right" w:pos="8640"/>
      </w:tabs>
      <w:spacing w:after="0" w:line="240" w:lineRule="auto"/>
    </w:pPr>
  </w:style>
  <w:style w:type="character" w:customStyle="1" w:styleId="HeaderKAR">
    <w:name w:val="Header KAR"/>
    <w:basedOn w:val="FontParagrafDefault"/>
    <w:link w:val="Header"/>
    <w:uiPriority w:val="99"/>
    <w:rsid w:val="009014E2"/>
  </w:style>
  <w:style w:type="paragraph" w:styleId="Footer">
    <w:name w:val="footer"/>
    <w:basedOn w:val="Normal"/>
    <w:link w:val="FooterKAR"/>
    <w:uiPriority w:val="99"/>
    <w:unhideWhenUsed/>
    <w:rsid w:val="009014E2"/>
    <w:pPr>
      <w:tabs>
        <w:tab w:val="center" w:pos="4320"/>
        <w:tab w:val="right" w:pos="8640"/>
      </w:tabs>
      <w:spacing w:after="0" w:line="240" w:lineRule="auto"/>
    </w:pPr>
  </w:style>
  <w:style w:type="character" w:customStyle="1" w:styleId="FooterKAR">
    <w:name w:val="Footer KAR"/>
    <w:basedOn w:val="FontParagrafDefault"/>
    <w:link w:val="Footer"/>
    <w:uiPriority w:val="99"/>
    <w:rsid w:val="009014E2"/>
  </w:style>
  <w:style w:type="paragraph" w:customStyle="1" w:styleId="00ArticleTitle">
    <w:name w:val="00 Article Title"/>
    <w:basedOn w:val="Normal"/>
    <w:link w:val="00ArticleTitleChar"/>
    <w:qFormat/>
    <w:rsid w:val="006157C3"/>
    <w:pPr>
      <w:spacing w:after="0" w:line="360" w:lineRule="auto"/>
    </w:pPr>
    <w:rPr>
      <w:b/>
      <w:bCs/>
      <w:sz w:val="28"/>
      <w:szCs w:val="28"/>
    </w:rPr>
  </w:style>
  <w:style w:type="character" w:customStyle="1" w:styleId="00ArticleTitleChar">
    <w:name w:val="00 Article Title Char"/>
    <w:basedOn w:val="FontParagrafDefault"/>
    <w:link w:val="00ArticleTitle"/>
    <w:rsid w:val="006157C3"/>
    <w:rPr>
      <w:b/>
      <w:bCs/>
      <w:sz w:val="28"/>
      <w:szCs w:val="28"/>
    </w:rPr>
  </w:style>
  <w:style w:type="paragraph" w:customStyle="1" w:styleId="00ArticleTitle2">
    <w:name w:val="00 Article Title 2"/>
    <w:basedOn w:val="Normal"/>
    <w:link w:val="00ArticleTitle2Char"/>
    <w:qFormat/>
    <w:rsid w:val="006157C3"/>
    <w:pPr>
      <w:spacing w:after="0" w:line="360" w:lineRule="auto"/>
    </w:pPr>
    <w:rPr>
      <w:b/>
      <w:bCs/>
      <w:sz w:val="28"/>
      <w:szCs w:val="28"/>
    </w:rPr>
  </w:style>
  <w:style w:type="character" w:customStyle="1" w:styleId="00ArticleTitle2Char">
    <w:name w:val="00 Article Title 2 Char"/>
    <w:basedOn w:val="FontParagrafDefault"/>
    <w:link w:val="00ArticleTitle2"/>
    <w:rsid w:val="006157C3"/>
    <w:rPr>
      <w:b/>
      <w:bCs/>
      <w:sz w:val="28"/>
      <w:szCs w:val="28"/>
    </w:rPr>
  </w:style>
  <w:style w:type="paragraph" w:customStyle="1" w:styleId="01Authorsname">
    <w:name w:val="01 Author's name"/>
    <w:basedOn w:val="Normal"/>
    <w:link w:val="01AuthorsnameChar"/>
    <w:qFormat/>
    <w:rsid w:val="006157C3"/>
    <w:pPr>
      <w:spacing w:after="0" w:line="360" w:lineRule="auto"/>
      <w:jc w:val="both"/>
    </w:pPr>
    <w:rPr>
      <w:color w:val="FF0000"/>
    </w:rPr>
  </w:style>
  <w:style w:type="character" w:customStyle="1" w:styleId="01AuthorsnameChar">
    <w:name w:val="01 Author's name Char"/>
    <w:basedOn w:val="FontParagrafDefault"/>
    <w:link w:val="01Authorsname"/>
    <w:rsid w:val="006157C3"/>
    <w:rPr>
      <w:color w:val="FF0000"/>
    </w:rPr>
  </w:style>
  <w:style w:type="paragraph" w:customStyle="1" w:styleId="03Abstract-Title">
    <w:name w:val="03 Abstract-Title"/>
    <w:basedOn w:val="Normal"/>
    <w:link w:val="03Abstract-TitleChar"/>
    <w:qFormat/>
    <w:rsid w:val="006157C3"/>
    <w:pPr>
      <w:spacing w:before="240" w:after="0" w:line="360" w:lineRule="auto"/>
    </w:pPr>
    <w:rPr>
      <w:b/>
    </w:rPr>
  </w:style>
  <w:style w:type="character" w:customStyle="1" w:styleId="03Abstract-TitleChar">
    <w:name w:val="03 Abstract-Title Char"/>
    <w:basedOn w:val="FontParagrafDefault"/>
    <w:link w:val="03Abstract-Title"/>
    <w:rsid w:val="006157C3"/>
    <w:rPr>
      <w:b/>
    </w:rPr>
  </w:style>
  <w:style w:type="paragraph" w:customStyle="1" w:styleId="04abstracttext">
    <w:name w:val="04 abstract text"/>
    <w:basedOn w:val="Normal"/>
    <w:link w:val="04abstracttextChar"/>
    <w:autoRedefine/>
    <w:qFormat/>
    <w:rsid w:val="007F4628"/>
    <w:pPr>
      <w:spacing w:after="0" w:line="240" w:lineRule="auto"/>
      <w:ind w:left="720"/>
      <w:jc w:val="both"/>
    </w:pPr>
    <w:rPr>
      <w:i/>
      <w:iCs/>
    </w:rPr>
  </w:style>
  <w:style w:type="character" w:customStyle="1" w:styleId="04abstracttextChar">
    <w:name w:val="04 abstract text Char"/>
    <w:basedOn w:val="FontParagrafDefault"/>
    <w:link w:val="04abstracttext"/>
    <w:rsid w:val="007F4628"/>
    <w:rPr>
      <w:i/>
      <w:iCs/>
    </w:rPr>
  </w:style>
  <w:style w:type="paragraph" w:customStyle="1" w:styleId="05keywords">
    <w:name w:val="05 keywords"/>
    <w:basedOn w:val="Normal"/>
    <w:link w:val="05keywordsChar"/>
    <w:qFormat/>
    <w:rsid w:val="006157C3"/>
    <w:pPr>
      <w:spacing w:before="240" w:after="0" w:line="240" w:lineRule="auto"/>
      <w:ind w:left="284" w:hanging="284"/>
      <w:jc w:val="both"/>
    </w:pPr>
    <w:rPr>
      <w:b/>
    </w:rPr>
  </w:style>
  <w:style w:type="character" w:customStyle="1" w:styleId="05keywordsChar">
    <w:name w:val="05 keywords Char"/>
    <w:basedOn w:val="FontParagrafDefault"/>
    <w:link w:val="05keywords"/>
    <w:rsid w:val="006157C3"/>
    <w:rPr>
      <w:b/>
    </w:rPr>
  </w:style>
  <w:style w:type="paragraph" w:customStyle="1" w:styleId="06Heading1">
    <w:name w:val="06 Heading 1"/>
    <w:basedOn w:val="Normal"/>
    <w:link w:val="06Heading1Char"/>
    <w:autoRedefine/>
    <w:qFormat/>
    <w:rsid w:val="006157C3"/>
    <w:pPr>
      <w:spacing w:before="240" w:after="120" w:line="360" w:lineRule="auto"/>
      <w:ind w:left="284" w:hanging="284"/>
      <w:jc w:val="both"/>
    </w:pPr>
    <w:rPr>
      <w:b/>
    </w:rPr>
  </w:style>
  <w:style w:type="character" w:customStyle="1" w:styleId="06Heading1Char">
    <w:name w:val="06 Heading 1 Char"/>
    <w:basedOn w:val="FontParagrafDefault"/>
    <w:link w:val="06Heading1"/>
    <w:rsid w:val="006157C3"/>
    <w:rPr>
      <w:b/>
    </w:rPr>
  </w:style>
  <w:style w:type="paragraph" w:customStyle="1" w:styleId="07bodytext">
    <w:name w:val="07 body text"/>
    <w:basedOn w:val="Normal"/>
    <w:link w:val="07bodytextChar"/>
    <w:qFormat/>
    <w:rsid w:val="006157C3"/>
    <w:pPr>
      <w:spacing w:after="0" w:line="360" w:lineRule="auto"/>
      <w:ind w:firstLine="720"/>
      <w:jc w:val="both"/>
    </w:pPr>
  </w:style>
  <w:style w:type="character" w:customStyle="1" w:styleId="07bodytextChar">
    <w:name w:val="07 body text Char"/>
    <w:basedOn w:val="FontParagrafDefault"/>
    <w:link w:val="07bodytext"/>
    <w:rsid w:val="006157C3"/>
  </w:style>
  <w:style w:type="paragraph" w:customStyle="1" w:styleId="06Heading2">
    <w:name w:val="06 Heading 2"/>
    <w:basedOn w:val="Normal"/>
    <w:link w:val="06Heading2Char"/>
    <w:autoRedefine/>
    <w:qFormat/>
    <w:rsid w:val="006157C3"/>
    <w:pPr>
      <w:spacing w:before="240" w:after="120" w:line="360" w:lineRule="auto"/>
      <w:jc w:val="both"/>
    </w:pPr>
    <w:rPr>
      <w:b/>
      <w:bCs/>
      <w:i/>
      <w:iCs/>
    </w:rPr>
  </w:style>
  <w:style w:type="character" w:customStyle="1" w:styleId="06Heading2Char">
    <w:name w:val="06 Heading 2 Char"/>
    <w:basedOn w:val="FontParagrafDefault"/>
    <w:link w:val="06Heading2"/>
    <w:rsid w:val="006157C3"/>
    <w:rPr>
      <w:b/>
      <w:bCs/>
      <w:i/>
      <w:iCs/>
    </w:rPr>
  </w:style>
  <w:style w:type="paragraph" w:customStyle="1" w:styleId="10footnotetext">
    <w:name w:val="10 footnote text"/>
    <w:basedOn w:val="TeksCatatanKaki"/>
    <w:link w:val="10footnotetextChar"/>
    <w:qFormat/>
    <w:rsid w:val="006157C3"/>
    <w:pPr>
      <w:ind w:firstLine="709"/>
      <w:jc w:val="both"/>
    </w:pPr>
    <w:rPr>
      <w:rFonts w:cs="Times New Roman"/>
      <w:szCs w:val="24"/>
    </w:rPr>
  </w:style>
  <w:style w:type="character" w:customStyle="1" w:styleId="10footnotetextChar">
    <w:name w:val="10 footnote text Char"/>
    <w:basedOn w:val="TeksCatatanKakiKAR"/>
    <w:link w:val="10footnotetext"/>
    <w:rsid w:val="006157C3"/>
    <w:rPr>
      <w:rFonts w:cs="Times New Roman"/>
      <w:sz w:val="20"/>
      <w:szCs w:val="20"/>
    </w:rPr>
  </w:style>
  <w:style w:type="paragraph" w:customStyle="1" w:styleId="09bibliography">
    <w:name w:val="09 bibliography"/>
    <w:basedOn w:val="Bibliografi"/>
    <w:link w:val="09bibliographyChar"/>
    <w:qFormat/>
    <w:rsid w:val="00A854F8"/>
    <w:pPr>
      <w:spacing w:before="120" w:after="0"/>
      <w:jc w:val="both"/>
    </w:pPr>
  </w:style>
  <w:style w:type="character" w:customStyle="1" w:styleId="BibliografiKAR">
    <w:name w:val="Bibliografi KAR"/>
    <w:basedOn w:val="FontParagrafDefault"/>
    <w:link w:val="Bibliografi"/>
    <w:uiPriority w:val="37"/>
    <w:rsid w:val="006157C3"/>
  </w:style>
  <w:style w:type="character" w:customStyle="1" w:styleId="09bibliographyChar">
    <w:name w:val="09 bibliography Char"/>
    <w:basedOn w:val="BibliografiKAR"/>
    <w:link w:val="09bibliography"/>
    <w:rsid w:val="00A854F8"/>
  </w:style>
  <w:style w:type="paragraph" w:customStyle="1" w:styleId="09Quote">
    <w:name w:val="09 Quote"/>
    <w:basedOn w:val="07bodytext"/>
    <w:link w:val="09QuoteChar"/>
    <w:qFormat/>
    <w:rsid w:val="00D12966"/>
    <w:pPr>
      <w:spacing w:after="120" w:line="240" w:lineRule="auto"/>
      <w:ind w:left="680" w:firstLine="0"/>
    </w:pPr>
  </w:style>
  <w:style w:type="character" w:customStyle="1" w:styleId="09QuoteChar">
    <w:name w:val="09 Quote Char"/>
    <w:basedOn w:val="07bodytextChar"/>
    <w:link w:val="09Quote"/>
    <w:rsid w:val="00D12966"/>
  </w:style>
  <w:style w:type="character" w:styleId="Tempatpenampungteks">
    <w:name w:val="Placeholder Text"/>
    <w:basedOn w:val="FontParagrafDefault"/>
    <w:uiPriority w:val="99"/>
    <w:semiHidden/>
    <w:rsid w:val="007E7856"/>
    <w:rPr>
      <w:color w:val="666666"/>
    </w:rPr>
  </w:style>
  <w:style w:type="paragraph" w:customStyle="1" w:styleId="FirstParagraph">
    <w:name w:val="First Paragraph"/>
    <w:basedOn w:val="TeksIsi"/>
    <w:next w:val="TeksIsi"/>
    <w:qFormat/>
    <w:rsid w:val="00237B95"/>
    <w:pPr>
      <w:spacing w:before="180" w:after="180" w:line="240" w:lineRule="auto"/>
    </w:pPr>
    <w:rPr>
      <w:rFonts w:asciiTheme="minorHAnsi" w:hAnsiTheme="minorHAnsi" w:cstheme="minorBidi"/>
    </w:rPr>
  </w:style>
  <w:style w:type="paragraph" w:styleId="TeksIsi">
    <w:name w:val="Body Text"/>
    <w:basedOn w:val="Normal"/>
    <w:link w:val="TeksIsiKAR"/>
    <w:uiPriority w:val="99"/>
    <w:semiHidden/>
    <w:unhideWhenUsed/>
    <w:rsid w:val="00237B95"/>
    <w:pPr>
      <w:spacing w:after="120"/>
    </w:pPr>
  </w:style>
  <w:style w:type="character" w:customStyle="1" w:styleId="TeksIsiKAR">
    <w:name w:val="Teks Isi KAR"/>
    <w:basedOn w:val="FontParagrafDefault"/>
    <w:link w:val="TeksIsi"/>
    <w:uiPriority w:val="99"/>
    <w:semiHidden/>
    <w:rsid w:val="00237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hyu%20maulana\Downloads\AJIS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AJIS_template</Template>
  <TotalTime>99</TotalTime>
  <Pages>14</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wahyu maulana</dc:creator>
  <cp:lastModifiedBy>wahyu maulana</cp:lastModifiedBy>
  <cp:revision>2</cp:revision>
  <dcterms:created xsi:type="dcterms:W3CDTF">2026-05-18T02:51:00Z</dcterms:created>
  <dcterms:modified xsi:type="dcterms:W3CDTF">2026-05-18T11:23:00Z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id="fUPsWnVt"/&gt;&lt;style id="http://www.zotero.org/styles/al-jamiah-journal-of-islamic-studies" hasBibliography="1" bibliographyStyleHasBeenSet="1"/&gt;&lt;prefs&gt;&lt;pref name="fieldType" value="Field"/&gt;&lt;pref na</vt:lpwstr>
  </property>
  <property fmtid="{D5CDD505-2E9C-101B-9397-08002B2CF9AE}" pid="3" name="ZOTERO_PREF_2">
    <vt:lpwstr>me="storeReferences" value="true"/&gt;&lt;pref name="automaticJournalAbbreviations" value="true"/&gt;&lt;pref name="noteType" value="1"/&gt;&lt;/prefs&gt;&lt;/data&gt;</vt:lpwstr>
  </property>
</Properties>
</file>