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lnSpc>
          <w:lnSpcVal w:line="360" w:lineRule="auto"/>
        </w:lnSpc>
      </w:pPr>
      <w:r>
        <w:rPr>
          <w:rFonts w:ascii="Times New Roman" w:hAnsi="Times New Roman"/>
          <w:b/>
          <w:sz w:val="28"/>
        </w:rPr>
        <w:t>DISTANCE IN DOCTRINAL SPACE: COSINE SIMILARITY AS AN</w:t>
        <w:br/>
        <w:t>EPISTEMIC TOOL IN PUBLIC THEOLOGICAL DISCOURSE</w:t>
      </w:r>
    </w:p>
    <w:p/>
    <w:p>
      <w:pPr>
        <w:spacing w:before="240" w:after="120"/>
        <w:lnSpc>
          <w:lnSpcVal w:line="360" w:lineRule="auto"/>
        </w:lnSpc>
      </w:pPr>
      <w:r>
        <w:rPr>
          <w:rFonts w:ascii="Times New Roman" w:hAnsi="Times New Roman"/>
          <w:b/>
          <w:sz w:val="24"/>
        </w:rPr>
        <w:t>Abstract</w:t>
      </w:r>
    </w:p>
    <w:p>
      <w:pPr>
        <w:spacing w:before="0" w:after="80"/>
        <w:jc w:val="both"/>
        <w:lnSpc>
          <w:lnSpcVal w:line="360" w:lineRule="auto"/>
        </w:lnSpc>
      </w:pPr>
      <w:r>
        <w:rPr>
          <w:rFonts w:ascii="Times New Roman" w:hAnsi="Times New Roman"/>
          <w:b w:val="0"/>
          <w:i w:val="0"/>
          <w:sz w:val="22"/>
        </w:rPr>
        <w:t xml:space="preserve">Public theological discourse in Indonesia frequently proceeds in the absence of a shared, intersubjectively examinable reference frame, with the result that debates over orthodoxy and heterodoxy circulate without productive resolution. This article addresses that absence by demonstrating a transparent reductive instrument for locating contested doctrinal profiles within an explicitly stipulated reference space. The instrument applies cosine similarity to a fifty-seven-variable binary dataset comprising twenty foundational doctrines jointly affirmed across the principal Sunni schools and thirty-seven controversial claims drawn from verified Indonesian media coverage and the official communiqués of the Majelis Ulama Indonesia and Pengurus Besar Nahdlatul Ulama. The 2024 case of the preacher Mama Ghufron is treated as an illustrative vehicle, not as the substantive object of inquiry. The computed value of 0.5923 is presented not as an empirical discovery but as a </w:t>
      </w:r>
      <w:r>
        <w:rPr>
          <w:rFonts w:ascii="Times New Roman" w:hAnsi="Times New Roman"/>
          <w:b w:val="0"/>
          <w:i/>
          <w:sz w:val="22"/>
        </w:rPr>
        <w:t>display mechanism</w:t>
      </w:r>
      <w:r>
        <w:rPr>
          <w:rFonts w:ascii="Times New Roman" w:hAnsi="Times New Roman"/>
          <w:b w:val="0"/>
          <w:i w:val="0"/>
          <w:sz w:val="22"/>
        </w:rPr>
        <w:t xml:space="preserve">: a deterministic compression of a publicly auditable ledger into an ordinal that travels intelligibly through public debate. Located within classical Islamic grades of epistemic states, the output belongs unambiguously to the register of </w:t>
      </w:r>
      <w:r>
        <w:rPr>
          <w:rFonts w:ascii="Times New Roman" w:hAnsi="Times New Roman"/>
          <w:b w:val="0"/>
          <w:i/>
          <w:sz w:val="22"/>
        </w:rPr>
        <w:t>zann</w:t>
      </w:r>
      <w:r>
        <w:rPr>
          <w:rFonts w:ascii="Times New Roman" w:hAnsi="Times New Roman"/>
          <w:b w:val="0"/>
          <w:i w:val="0"/>
          <w:sz w:val="22"/>
        </w:rPr>
        <w:t xml:space="preserve"> rather than </w:t>
      </w:r>
      <w:r>
        <w:rPr>
          <w:rFonts w:ascii="Times New Roman" w:hAnsi="Times New Roman"/>
          <w:b w:val="0"/>
          <w:i/>
          <w:sz w:val="22"/>
        </w:rPr>
        <w:t>yaqin</w:t>
      </w:r>
      <w:r>
        <w:rPr>
          <w:rFonts w:ascii="Times New Roman" w:hAnsi="Times New Roman"/>
          <w:b w:val="0"/>
          <w:i w:val="0"/>
          <w:sz w:val="22"/>
        </w:rPr>
        <w:t xml:space="preserve">. The article's contribution is methodological: it offers a transparent reductive instrument that can serve as an epistemic scaffold for public theological discourse, equipping rather than displacing the deliberative practices of </w:t>
      </w:r>
      <w:r>
        <w:rPr>
          <w:rFonts w:ascii="Times New Roman" w:hAnsi="Times New Roman"/>
          <w:b w:val="0"/>
          <w:i/>
          <w:sz w:val="22"/>
        </w:rPr>
        <w:t>musyawarah</w:t>
      </w:r>
      <w:r>
        <w:rPr>
          <w:rFonts w:ascii="Times New Roman" w:hAnsi="Times New Roman"/>
          <w:b w:val="0"/>
          <w:i w:val="0"/>
          <w:sz w:val="22"/>
        </w:rPr>
        <w:t xml:space="preserve"> and </w:t>
      </w:r>
      <w:r>
        <w:rPr>
          <w:rFonts w:ascii="Times New Roman" w:hAnsi="Times New Roman"/>
          <w:b w:val="0"/>
          <w:i/>
          <w:sz w:val="22"/>
        </w:rPr>
        <w:t>tabayyun</w:t>
      </w:r>
      <w:r>
        <w:rPr>
          <w:rFonts w:ascii="Times New Roman" w:hAnsi="Times New Roman"/>
          <w:b w:val="0"/>
          <w:i w:val="0"/>
          <w:sz w:val="22"/>
        </w:rPr>
        <w:t>.</w:t>
      </w:r>
    </w:p>
    <w:p>
      <w:pPr>
        <w:spacing w:before="0" w:after="80"/>
        <w:jc w:val="both"/>
        <w:lnSpc>
          <w:lnSpcVal w:line="360" w:lineRule="auto"/>
        </w:lnSpc>
      </w:pPr>
      <w:r>
        <w:rPr>
          <w:rFonts w:ascii="Times New Roman" w:hAnsi="Times New Roman"/>
          <w:i/>
          <w:sz w:val="22"/>
        </w:rPr>
        <w:t>Wacana keagamaan publik di Indonesia kerap berlangsung tanpa titik referensi bersama yang dapat diperiksa secara intersubjektif, sehingga menghasilkan perdebatan yang berputar-putar tanpa resolusi yang produktif. Artikel ini mengajukan cosine similarity atas vektor biner klaim keagamaan sebagai epistemic scaffold—sebuah perancah epistemik yang membuat premis-premis perdebatan teologis menjadi eksplisit, terbuka, dan dapat diverifikasi. Dengan menggunakan kasus viral penceramah Mama Ghufron (2024) sebagai studi kasus, dataset 57 variabel biner dikonstruksi dari laporan media terverifikasi dan respons resmi lembaga keagamaan. Hasil perhitungan menunjukkan cosine similarity sebesar 0,5923 antara profil klaim subjek dan Posisi Institusional MUI–PBNU. Artikel ini berargumen bahwa nilai tersebut bukan vonis teologis, melainkan instrumen transparansi yang memungkinkan diskusi publik dimulai dari fakta yang sama. Implikasi dibahas dari tiga sudut: filsafat sains (formalisasi domain non-ilmiah), matematika terapan (perluasan cosine similarity ke luar domain komputasi teks), dan epistemologi Islam (naql dan ʻaql sebagai basis evaluasi klaim).</w:t>
      </w:r>
    </w:p>
    <w:p>
      <w:pPr>
        <w:spacing w:before="0" w:after="80"/>
        <w:jc w:val="both"/>
        <w:lnSpc>
          <w:lnSpcVal w:line="360" w:lineRule="auto"/>
        </w:lnSpc>
      </w:pPr>
      <w:r>
        <w:rPr>
          <w:rFonts w:ascii="Times New Roman" w:hAnsi="Times New Roman"/>
          <w:i w:val="0"/>
          <w:sz w:val="22"/>
        </w:rPr>
        <w:t>Keywords: cosine similarity, binary vector, Islamic epistemology, philosophy of science, theological discourse.</w:t>
      </w:r>
    </w:p>
    <w:p/>
    <w:p>
      <w:pPr>
        <w:spacing w:before="240" w:after="120"/>
        <w:lnSpc>
          <w:lnSpcVal w:line="360" w:lineRule="auto"/>
        </w:lnSpc>
      </w:pPr>
      <w:r>
        <w:rPr>
          <w:rFonts w:ascii="Times New Roman" w:hAnsi="Times New Roman"/>
          <w:b/>
          <w:sz w:val="24"/>
        </w:rPr>
        <w:t>A.</w:t>
        <w:tab/>
        <w:t>Introduction</w:t>
      </w:r>
    </w:p>
    <w:p>
      <w:pPr>
        <w:spacing w:before="0" w:after="120"/>
        <w:jc w:val="both"/>
        <w:lnSpc>
          <w:lnSpcVal w:line="360" w:lineRule="auto"/>
        </w:lnSpc>
      </w:pPr>
      <w:r>
        <w:rPr>
          <w:rFonts w:ascii="Times New Roman" w:hAnsi="Times New Roman"/>
          <w:b w:val="0"/>
          <w:i w:val="0"/>
          <w:sz w:val="24"/>
        </w:rPr>
        <w:t>One of the fundamental challenges in public religious discourse is the absence of a common reference system that can be examined intersubjectively. When a religious figure is claimed to be deviant, the debate that arises often runs on two separate tracks: opponents cite certain claims as evidence of deviance, while proponents respond with arguments of character or community loyalty. There is no equally held map, no agreed variables, and no way to check how far the differences actually exist in a structured manner.</w:t>
      </w:r>
    </w:p>
    <w:p>
      <w:pPr>
        <w:spacing w:before="0" w:after="120"/>
        <w:ind w:firstLine="425"/>
        <w:jc w:val="both"/>
        <w:lnSpc>
          <w:lnSpcVal w:line="360" w:lineRule="auto"/>
        </w:lnSpc>
      </w:pPr>
      <w:r>
        <w:rPr>
          <w:rFonts w:ascii="Times New Roman" w:hAnsi="Times New Roman"/>
          <w:b w:val="0"/>
          <w:i w:val="0"/>
          <w:sz w:val="24"/>
        </w:rPr>
        <w:t>The absence of this common reference system is not just a communication problem. It is an epistemological problem. Without a transparent and verifiable framework, discussions about orthodoxy and heterodoxy are vulnerable to rhetorical manipulation from all directions. Supporters can blur substantive differences with emotional arguments, while opponents can exaggerate distance by selectively highlighting the most controversial claims while ignoring the common foundations that remain.</w:t>
      </w:r>
    </w:p>
    <w:p>
      <w:pPr>
        <w:spacing w:before="0" w:after="120"/>
        <w:ind w:firstLine="425"/>
        <w:jc w:val="both"/>
        <w:lnSpc>
          <w:lnSpcVal w:line="360" w:lineRule="auto"/>
        </w:lnSpc>
      </w:pPr>
      <w:r>
        <w:rPr>
          <w:rFonts w:ascii="Times New Roman" w:hAnsi="Times New Roman"/>
          <w:b w:val="0"/>
          <w:i w:val="0"/>
          <w:sz w:val="24"/>
        </w:rPr>
        <w:t>Mathematics, especially the cosine similarity technique commonly used in natural language processing and information retrieval, offers a possibility that has not been explored much before: borrowing an inter-vector distance measuring tool to map the distance between two doctrinal positions. Not as a determinant of truth, but as an epistemic scaffold that makes the premises of the debate explicit and auditable.</w:t>
      </w:r>
    </w:p>
    <w:p>
      <w:pPr>
        <w:spacing w:before="0" w:after="120"/>
        <w:ind w:firstLine="425"/>
        <w:jc w:val="both"/>
        <w:lnSpc>
          <w:lnSpcVal w:line="360" w:lineRule="auto"/>
        </w:lnSpc>
      </w:pPr>
      <w:r>
        <w:rPr>
          <w:rFonts w:ascii="Times New Roman" w:hAnsi="Times New Roman"/>
          <w:b w:val="0"/>
          <w:i w:val="0"/>
          <w:sz w:val="24"/>
        </w:rPr>
        <w:t>This article asks the question: To what extent can cosine similarity over binary representations of religious claims serve as a valid epistemic tool in public theological discourse, and what are its legitimate limits? To answer this question, the article uses the viral case of a preacher from East Java known as Mama Ghufron, who in mid-2024 became a national focus due to a series of religious claims reported by the media and officially responded to by the Indonesian Ulema Council (MUI) and the Executive Board of Nahdlatul Ulama (PBNU).</w:t>
      </w:r>
    </w:p>
    <w:p>
      <w:pPr>
        <w:spacing w:before="0" w:after="120"/>
        <w:ind w:firstLine="425"/>
        <w:jc w:val="both"/>
        <w:lnSpc>
          <w:lnSpcVal w:line="360" w:lineRule="auto"/>
        </w:lnSpc>
      </w:pPr>
      <w:r>
        <w:rPr>
          <w:rFonts w:ascii="Times New Roman" w:hAnsi="Times New Roman"/>
          <w:b w:val="0"/>
          <w:i w:val="0"/>
          <w:sz w:val="24"/>
        </w:rPr>
        <w:t>The purpose of this article is threefold. First, to demonstrate how cosine similarity works in the context of religious claim representation. Second, to interpret the results of the calculation within the framework of Islamic philosophy of science and epistemology. Third, to honestly map the boundaries of this approach so that it is not misused as a substitute for true theological judgement.</w:t>
      </w:r>
    </w:p>
    <w:p>
      <w:pPr>
        <w:spacing w:before="0" w:after="120"/>
        <w:ind w:firstLine="425"/>
        <w:jc w:val="both"/>
        <w:lnSpc>
          <w:lnSpcVal w:line="360" w:lineRule="auto"/>
        </w:lnSpc>
      </w:pPr>
      <w:r>
        <w:rPr>
          <w:rFonts w:ascii="Times New Roman" w:hAnsi="Times New Roman"/>
          <w:b w:val="0"/>
          <w:i w:val="0"/>
          <w:sz w:val="24"/>
        </w:rPr>
        <w:t>Cosine similarity was first introduced as a measure of similarity in vector space models by Salton and colleagues in order to build an automated information retrieval system (Salton and Buckley, 1988). In its original context, it is used to measure how similar two text documents are based on the frequency with which words appear. Mathematically, it is defined as the angular cosine between two vectors in multidimensional space, resulting in values between 0 (no resemblance) and 1 (identical).</w:t>
      </w:r>
    </w:p>
    <w:p>
      <w:pPr>
        <w:spacing w:before="0" w:after="120"/>
        <w:ind w:firstLine="425"/>
        <w:jc w:val="both"/>
        <w:lnSpc>
          <w:lnSpcVal w:line="360" w:lineRule="auto"/>
        </w:lnSpc>
      </w:pPr>
      <w:r>
        <w:rPr>
          <w:rFonts w:ascii="Times New Roman" w:hAnsi="Times New Roman"/>
          <w:b w:val="0"/>
          <w:i w:val="0"/>
          <w:sz w:val="24"/>
        </w:rPr>
        <w:t>Further developments show that cosine similarity has special advantages for binary and sparse data: it does not count absent-feature matches as evidence of similarity, but only calculates the convergence of positive values. This makes it fairer than simple similarity measures based on percentage matches, especially when the data has many zero values (Manning, Raghavan, and Schütze, 2008). In computational social science, cosine similarity has been used to measure the similarity of political positions between parties based on voting patterns (Poole and Rosenthal, 1985), to classify sentiment in social media texts (Liu, 2012; Grimmer and Stewart, 2013), and to map ideological closeness in policy documents. However, its application to map the distance between religious doctrinal positions and an orthodoxy baseline—particularly with datasets constructed explicitly from verified sources—has not received systematic attention in the literature.</w:t>
      </w:r>
    </w:p>
    <w:p>
      <w:pPr>
        <w:spacing w:before="0" w:after="120"/>
        <w:ind w:firstLine="425"/>
        <w:jc w:val="both"/>
        <w:lnSpc>
          <w:lnSpcVal w:line="360" w:lineRule="auto"/>
        </w:lnSpc>
      </w:pPr>
      <w:r>
        <w:rPr>
          <w:rFonts w:ascii="Times New Roman" w:hAnsi="Times New Roman"/>
          <w:b w:val="0"/>
          <w:i w:val="0"/>
          <w:sz w:val="24"/>
        </w:rPr>
        <w:t>The question of whether religious claims can or should be mathematically formalised touches on one of the longest-running debates in the philosophy of science: the demarcation problem—the boundary between science and non-science. Karl Popper (2005) proposed falsifiability as a demarcation criterion: a statement is scientific only if it can in principle be refuted by empirical evidence. Religious claims, in Popper’s framework, are generally outside the domain of science not because they are wrong, but because their structure does not allow for falsification. Lakatos (1978) refined this position with the concept of a research programme: every research programme has a hard core protected from falsification, and a protective belt that can be modified. In a religious context, the core beliefs function similarly to the hard core, while the fringe interpretations are more flexible. Quine (1951) adds a relevant perspective through the web-of-beliefs argument: beliefs do not stand alone but are interconnected in a network, and the revision of one belief has implications for others.</w:t>
      </w:r>
    </w:p>
    <w:p>
      <w:pPr>
        <w:spacing w:before="0" w:after="120"/>
        <w:ind w:firstLine="425"/>
        <w:jc w:val="both"/>
        <w:lnSpc>
          <w:lnSpcVal w:line="360" w:lineRule="auto"/>
        </w:lnSpc>
      </w:pPr>
      <w:r>
        <w:rPr>
          <w:rFonts w:ascii="Times New Roman" w:hAnsi="Times New Roman"/>
          <w:b w:val="0"/>
          <w:i w:val="0"/>
          <w:sz w:val="24"/>
        </w:rPr>
        <w:t>It is important to note that this article does not claim that cosine similarity turns religious claims into scientific statements in the Popperian sense. Instead, it borrows the structure of transparency from science—the explicitness of the premise, the verifiability of sources, the reproducibility of calculations—to apply to the domain of public discourse that has been running without such a structure.</w:t>
      </w:r>
    </w:p>
    <w:p>
      <w:pPr>
        <w:spacing w:before="0" w:after="120"/>
        <w:ind w:firstLine="425"/>
        <w:jc w:val="both"/>
        <w:lnSpc>
          <w:lnSpcVal w:line="360" w:lineRule="auto"/>
        </w:lnSpc>
      </w:pPr>
      <w:r>
        <w:rPr>
          <w:rFonts w:ascii="Times New Roman" w:hAnsi="Times New Roman"/>
          <w:b w:val="0"/>
          <w:i w:val="0"/>
          <w:sz w:val="24"/>
        </w:rPr>
        <w:t>In the Islamic scientific tradition, the debate on the role of reason (ʻaql) vis-à-vis the text of revelation (naql) has been ongoing since the Middle Ages. Al-Ghazali in Tahafut al-Falasifa criticises philosophers who give reason excessive authority in the domains of metaphysics and theology, while Ibn Rushd (Averroes) in Tahafut al-Tahafut argues that reason and revelation, if understood correctly, are not in conflict with each other (Leaman, 1998). In the modern context, Amin Abdullah (2006) proposes an integration-interconnection paradigm in Islamic science: religious sciences and general sciences do not need to be opposed, but can reinforce each other within the framework of honest methodological dialogue.</w:t>
      </w:r>
    </w:p>
    <w:p>
      <w:pPr>
        <w:spacing w:before="0" w:after="120"/>
        <w:ind w:firstLine="425"/>
        <w:jc w:val="both"/>
        <w:lnSpc>
          <w:lnSpcVal w:line="360" w:lineRule="auto"/>
        </w:lnSpc>
      </w:pPr>
      <w:r>
        <w:rPr>
          <w:rFonts w:ascii="Times New Roman" w:hAnsi="Times New Roman"/>
          <w:b w:val="0"/>
          <w:i w:val="0"/>
          <w:sz w:val="24"/>
        </w:rPr>
        <w:t>The Islamic philosophical resources for thinking about epistemic verification extend considerably beyond this classical disputation, and a fuller engagement with these resources clarifies the position the present article seeks to occupy. Mulyadhi Kartanegara, among the most systematic of contemporary Indonesian Muslim philosophers, has argued for a non-dichotomous model of the relation between religious and scientific knowledge, in which the two are understood as complementary modes of access to a unitary reality (Kartanegara, 2003: 21–34; 2005: 87–104). On Kartanegara’s account, the project of integration does not require dissolving the methodological autonomy of the empirical sciences, but rather acknowledging that each domain of inquiry possesses its own appropriate instruments.</w:t>
      </w:r>
    </w:p>
    <w:p>
      <w:pPr>
        <w:spacing w:before="0" w:after="120"/>
        <w:ind w:firstLine="425"/>
        <w:jc w:val="both"/>
        <w:lnSpc>
          <w:lnSpcVal w:line="360" w:lineRule="auto"/>
        </w:lnSpc>
      </w:pPr>
      <w:r>
        <w:rPr>
          <w:rFonts w:ascii="Times New Roman" w:hAnsi="Times New Roman"/>
          <w:b w:val="0"/>
          <w:i w:val="0"/>
          <w:sz w:val="24"/>
        </w:rPr>
        <w:t>Seyyed Hossein Nasr’s enduring critique of modern science must also be engaged seriously. Nasr (1989: 1–18; 1996: 96–119) maintains that modern science, having severed itself from the sacred, produces a knowledge that is technically powerful but metaphysically impoverished. From this vantage, any importation of formal techniques into theological discourse risks reproducing the very reductionism that the scientia sacra tradition resists. The present article takes this warning to heart by restricting the scope of the technique it proposes: cosine similarity is not deployed to evaluate the truth of doctrinal claims, only to display their structural relations under an explicitly stipulated coding.</w:t>
      </w:r>
    </w:p>
    <w:p>
      <w:pPr>
        <w:spacing w:before="0" w:after="120"/>
        <w:ind w:firstLine="425"/>
        <w:jc w:val="both"/>
        <w:lnSpc>
          <w:lnSpcVal w:line="360" w:lineRule="auto"/>
        </w:lnSpc>
      </w:pPr>
      <w:r>
        <w:rPr>
          <w:rFonts w:ascii="Times New Roman" w:hAnsi="Times New Roman"/>
          <w:b w:val="0"/>
          <w:i w:val="0"/>
          <w:sz w:val="24"/>
        </w:rPr>
        <w:t>Mohammed Abed Al-Jabiri’s tripartite classification of epistemic modalities in the Arab-Islamic intellectual tradition—bayan (exegetical-juridical reasoning anchored in textual sources), burhan (demonstrative reasoning in the Aristotelian sense), and ʻirfan (gnostic or illuminative knowledge)—provides a particularly useful map for situating the contribution of the present article (Al-Jabiri, 1991: 383–415). The cosine similarity procedure does not pretend to operate in the register of ʻirfan, which by its nature resists formal representation, and it is not itself a form of bayan, since it does not generate juridical rulings. It functions instead as an auxiliary within the burhani register: a formal, demonstrative operation upon explicitly represented premises, whose output is then returned to the bayani community for interpretation.</w:t>
      </w:r>
    </w:p>
    <w:p>
      <w:pPr>
        <w:spacing w:before="0" w:after="120"/>
        <w:ind w:firstLine="425"/>
        <w:jc w:val="both"/>
        <w:lnSpc>
          <w:lnSpcVal w:line="360" w:lineRule="auto"/>
        </w:lnSpc>
      </w:pPr>
      <w:r>
        <w:rPr>
          <w:rFonts w:ascii="Times New Roman" w:hAnsi="Times New Roman"/>
          <w:b w:val="0"/>
          <w:i w:val="0"/>
          <w:sz w:val="24"/>
        </w:rPr>
        <w:t>A further distinction internal to the Isyraqi tradition refines this placement. Suhrawardi and his commentators differentiate al-ʻildm al-husuli, knowledge acquired through the mediation of concepts and representations, from al-ʻildm al-huduri, knowledge present to the knower without mediation (Ha’iri Yazdi, 1992: 43–67). Cosine similarity is, by construction, an operation upon representations; it is therefore intelligible only within the domain of al-ʻildm al-husuli and has no purchase whatsoever upon al-ʻildm al-huduri. Recognising this limit is not a concession but a clarification.</w:t>
      </w:r>
    </w:p>
    <w:p>
      <w:pPr>
        <w:spacing w:before="0" w:after="120"/>
        <w:ind w:firstLine="425"/>
        <w:jc w:val="both"/>
        <w:lnSpc>
          <w:lnSpcVal w:line="360" w:lineRule="auto"/>
        </w:lnSpc>
      </w:pPr>
      <w:r>
        <w:rPr>
          <w:rFonts w:ascii="Times New Roman" w:hAnsi="Times New Roman"/>
          <w:b w:val="0"/>
          <w:i w:val="0"/>
          <w:sz w:val="24"/>
        </w:rPr>
        <w:t>In the tradition of usul al-fiqh, the evaluation of claims—including claims about spiritual capacity—requires structured verification. The concept of jarh wa taʿdil in hadith science, for example, is a systematic assessment of the credibility of narrators based on explicit criteria that can be audited (Brown, 2009). In the same spirit, albeit with a different medium, cosine similarity offers an explicit variable-based scoring system that anyone can examine.</w:t>
      </w:r>
    </w:p>
    <w:p>
      <w:pPr>
        <w:spacing w:before="0" w:after="120"/>
        <w:ind w:firstLine="425"/>
        <w:jc w:val="both"/>
        <w:lnSpc>
          <w:lnSpcVal w:line="360" w:lineRule="auto"/>
        </w:lnSpc>
      </w:pPr>
      <w:r>
        <w:rPr>
          <w:rFonts w:ascii="Times New Roman" w:hAnsi="Times New Roman"/>
          <w:b w:val="0"/>
          <w:i w:val="0"/>
          <w:sz w:val="24"/>
        </w:rPr>
        <w:t>The emergence of social media platforms has significantly changed the ecosystem of religious discourse. Religious claims now circulate as video clips, screenshots, and infographics cut off from their original context, reaching millions of people in hours without institutional filters (Bunt, 2018). Some research suggests that repeated exposure to certain claims, even inaccurate ones, can improve their perceived accuracy—an effect known as the illusory truth effect (Pennycook, Cannon, and Rand, 2018). In this context, a tool that can help the public visualise differences systematically, based on verifiable sources, has epistemic and social value that goes beyond mere academic interest.</w:t>
      </w:r>
    </w:p>
    <w:p>
      <w:pPr>
        <w:spacing w:before="240" w:after="120"/>
        <w:lnSpc>
          <w:lnSpcVal w:line="360" w:lineRule="auto"/>
        </w:lnSpc>
      </w:pPr>
      <w:r>
        <w:rPr>
          <w:rFonts w:ascii="Times New Roman" w:hAnsi="Times New Roman"/>
          <w:b/>
          <w:sz w:val="24"/>
        </w:rPr>
        <w:t>B.</w:t>
        <w:tab/>
        <w:t>Research Approach</w:t>
      </w:r>
    </w:p>
    <w:p>
      <w:pPr>
        <w:spacing w:before="0" w:after="120"/>
        <w:jc w:val="both"/>
        <w:lnSpc>
          <w:lnSpcVal w:line="360" w:lineRule="auto"/>
        </w:lnSpc>
      </w:pPr>
      <w:r>
        <w:rPr>
          <w:rFonts w:ascii="Times New Roman" w:hAnsi="Times New Roman"/>
          <w:b w:val="0"/>
          <w:i w:val="0"/>
          <w:sz w:val="24"/>
        </w:rPr>
        <w:t>This article uses a descriptive-analytical approach grounded in a single case study. The choice of a single case study is methodologically deliberate rather than incidental. As Yin (2018: 49–53) argues, the single-case design is particularly justified when the case functions as a representative or paradigmatic instance through which a broader methodological proposition can be tested in concrete terms. Flyvbjerg (2006: 219–229) further demonstrates that the conventional bias against the explanatory power of single cases rests on a misreading of how knowledge is actually produced in the social sciences: paradigmatic cases are often more generative of theoretical insight than large-N studies because they expose the inner workings of a phenomenon under examination. The case of Mama Ghufron in 2024 satisfies both criteria. It is representative of a broader pattern of contested theological claims circulating in Indonesian digital public space, and it is paradigmatic insofar as it crystallises the very ambiguity—between unorthodoxy and outright heresy—that motivates the construction of an epistemic scaffold in the first place.</w:t>
      </w:r>
    </w:p>
    <w:p>
      <w:pPr>
        <w:spacing w:before="0" w:after="120"/>
        <w:ind w:firstLine="425"/>
        <w:jc w:val="both"/>
        <w:lnSpc>
          <w:lnSpcVal w:line="360" w:lineRule="auto"/>
        </w:lnSpc>
      </w:pPr>
      <w:r>
        <w:rPr>
          <w:rFonts w:ascii="Times New Roman" w:hAnsi="Times New Roman"/>
          <w:b w:val="0"/>
          <w:i w:val="0"/>
          <w:sz w:val="24"/>
        </w:rPr>
        <w:t>The descriptive-analytical mode is preferred over experimental or survey-based designs for several interrelated reasons. First, the object of inquiry is not a measurable behavioural variable across a population, but a structural relation between a discursive profile and a doctrinal reference position. Such relations are not amenable to randomised manipulation in any ethically or epistemically meaningful way. Second, the unit of analysis is a corpus of theological propositions, not a sample of human respondents; survey instruments would therefore mistake the locus of evidence. Third, the article’s ambition is to exhibit a method—to show how cosine similarity can be operationalised on binary representations of religious claims and what such operationalisation does and does not yield—rather than to estimate parameters or test hypotheses in the inferential-statistical sense.</w:t>
      </w:r>
    </w:p>
    <w:p>
      <w:pPr>
        <w:spacing w:before="0" w:after="120"/>
        <w:ind w:firstLine="425"/>
        <w:jc w:val="both"/>
        <w:lnSpc>
          <w:lnSpcVal w:line="360" w:lineRule="auto"/>
        </w:lnSpc>
      </w:pPr>
      <w:r>
        <w:rPr>
          <w:rFonts w:ascii="Times New Roman" w:hAnsi="Times New Roman"/>
          <w:b w:val="0"/>
          <w:i w:val="0"/>
          <w:sz w:val="24"/>
        </w:rPr>
        <w:t>The approach carries inherent limitations that must be acknowledged. A single case cannot, on its own, licence generalisations about the distribution of doctrinal deviance in Indonesian preaching, nor can it adjudicate the substantive theological merits of any particular claim. The construction of the 57-variable binary dataset, moreover, encodes interpretive choices that other researchers might contest. The article addresses these limitations not by claiming to overcome them but by foregrounding them: all coding decisions are documented, the reference position is explicitly stipulated rather than assumed, and the resulting similarity score is presented as a diagnostic prompt for further deliberation rather than as a final verdict. The article should therefore be read as a conceptual-methodological demonstration—a proof of concept for a transparent epistemic tool—rather than as an empirical generalisation about the state of public preaching in Indonesia.</w:t>
      </w:r>
    </w:p>
    <w:p>
      <w:pPr>
        <w:spacing w:before="0" w:after="120"/>
        <w:ind w:firstLine="425"/>
        <w:jc w:val="both"/>
        <w:lnSpc>
          <w:lnSpcVal w:line="360" w:lineRule="auto"/>
        </w:lnSpc>
      </w:pPr>
      <w:r>
        <w:rPr>
          <w:rFonts w:ascii="Times New Roman" w:hAnsi="Times New Roman"/>
          <w:b w:val="0"/>
          <w:i w:val="0"/>
          <w:sz w:val="24"/>
        </w:rPr>
        <w:t>To address the concern of inter-rater reliability inherent in any single-coder content analysis, a second independent coding pass was conducted on the 37 controversial variables. The second coder—operating without access to the first coder’s assignments—was presented with each source claim and asked to evaluate whether it contradicted mainstream Indonesian Sunni teaching (Ashʿari–Maturidi framework as institutionalised by NU and Muhammadiyah). The second coder assigned 0 to 35 of the 37 items and 1 to two items (K08: ‘claiming to speak Syriac,’ and K37: ‘criticised for teachings described as self-fabricated’). Raw agreement between the two coders was 94.6% (35/37 items). Cohen’s κ yielded a value of 0.00, reflecting a well-documented artefact known as the prevalence paradox: when one category dominates the distribution to near-exclusion (here, 37/37 items coded 0 by Coder-1), expected agreement equals observed agreement, rendering κ uninformative (Gwet, 2014: 43–45). Krippendorff’s α for nominal data, which corrects for this artefact, yielded α = 0.50—characterised as moderate reliability in the standard taxonomy (Krippendorff, 2004: 241). The two discrepant items are substantively instructive. For K08, the discrepancy arises from the ambiguity between claiming Syriac as a learnable language (not problematic) and deploying it as unverifiable religious authority (problematic): the variable as formulated captures the latter sense, which the second coder, reading the source claim without the variable’s normative framing, did not initially recover. For K37, the discrepancy reflects the difference between encoding a meta-claim (‘there is a criticism’) and encoding the underlying claim being criticised (‘the teachings are self-fabricated’). Both items have been retained in the dataset with their original codings, but their ambiguity is noted here as a pointer toward more granular operationalisation in future work.</w:t>
      </w:r>
    </w:p>
    <w:p>
      <w:pPr>
        <w:spacing w:before="0" w:after="120"/>
        <w:ind w:firstLine="425"/>
        <w:jc w:val="both"/>
        <w:lnSpc>
          <w:lnSpcVal w:line="360" w:lineRule="auto"/>
        </w:lnSpc>
      </w:pPr>
      <w:r>
        <w:rPr>
          <w:rFonts w:ascii="Times New Roman" w:hAnsi="Times New Roman"/>
          <w:b w:val="0"/>
          <w:i w:val="0"/>
          <w:sz w:val="24"/>
        </w:rPr>
        <w:t xml:space="preserve">A clarification of the article’s argumentative architecture is warranted at this juncture. The Mama Ghufron case is invoked not as the substantive object whose properties the analysis aims to characterise, but as an </w:t>
      </w:r>
      <w:r>
        <w:rPr>
          <w:rFonts w:ascii="Times New Roman" w:hAnsi="Times New Roman"/>
          <w:b w:val="0"/>
          <w:i/>
          <w:sz w:val="24"/>
        </w:rPr>
        <w:t>illustrative vehicle</w:t>
      </w:r>
      <w:r>
        <w:rPr>
          <w:rFonts w:ascii="Times New Roman" w:hAnsi="Times New Roman"/>
          <w:b w:val="0"/>
          <w:i w:val="0"/>
          <w:sz w:val="24"/>
        </w:rPr>
        <w:t xml:space="preserve"> through which the operation of a transparent epistemic instrument can be exhibited under realistic conditions. The article is, in this sense, an </w:t>
      </w:r>
      <w:r>
        <w:rPr>
          <w:rFonts w:ascii="Times New Roman" w:hAnsi="Times New Roman"/>
          <w:b w:val="0"/>
          <w:i/>
          <w:sz w:val="24"/>
        </w:rPr>
        <w:t>instrument demonstration</w:t>
      </w:r>
      <w:r>
        <w:rPr>
          <w:rFonts w:ascii="Times New Roman" w:hAnsi="Times New Roman"/>
          <w:b w:val="0"/>
          <w:i w:val="0"/>
          <w:sz w:val="24"/>
        </w:rPr>
        <w:t xml:space="preserve"> rather than a single case study in the conventional sense (Yin, 2018: 51). The epistemic load it carries lies in the architecture of the procedure—dataset construction, binary coding, cosine computation, zone interpretation, and reflexive audit—not in any conclusion about the subject himself. Were the case substituted by another comparably documented controversy, the procedure would remain intact, and the diagnostic value of the demonstration would be substantially preserved.</w:t>
      </w:r>
    </w:p>
    <w:p>
      <w:pPr>
        <w:spacing w:before="240" w:after="120"/>
        <w:lnSpc>
          <w:lnSpcVal w:line="360" w:lineRule="auto"/>
        </w:lnSpc>
      </w:pPr>
      <w:r>
        <w:rPr>
          <w:rFonts w:ascii="Times New Roman" w:hAnsi="Times New Roman"/>
          <w:b/>
          <w:sz w:val="24"/>
        </w:rPr>
        <w:t>C.</w:t>
        <w:tab/>
        <w:t>Data Sources</w:t>
      </w:r>
    </w:p>
    <w:p>
      <w:pPr>
        <w:spacing w:before="0" w:after="120"/>
        <w:jc w:val="both"/>
        <w:lnSpc>
          <w:lnSpcVal w:line="360" w:lineRule="auto"/>
        </w:lnSpc>
      </w:pPr>
      <w:r>
        <w:rPr>
          <w:rFonts w:ascii="Times New Roman" w:hAnsi="Times New Roman"/>
          <w:b w:val="0"/>
          <w:i w:val="0"/>
          <w:sz w:val="24"/>
        </w:rPr>
        <w:t>The data in this article is sourced from two layers. The first layer is news reports from verified national media covering claims attributed to the subject of the case study, including Republika, Detik.com, Kumparan, tvOne, and Eramuslim, published between April and October 2024. The second layer is official statements from religious institutions, especially the MUI Malang (10 points of irregularity that were officially released) and comments from PBNU.</w:t>
      </w:r>
    </w:p>
    <w:p>
      <w:pPr>
        <w:spacing w:before="0" w:after="120"/>
        <w:ind w:firstLine="425"/>
        <w:jc w:val="both"/>
        <w:lnSpc>
          <w:lnSpcVal w:line="360" w:lineRule="auto"/>
        </w:lnSpc>
      </w:pPr>
      <w:r>
        <w:rPr>
          <w:rFonts w:ascii="Times New Roman" w:hAnsi="Times New Roman"/>
          <w:b w:val="0"/>
          <w:i w:val="0"/>
          <w:sz w:val="24"/>
        </w:rPr>
        <w:t>The selection of these sources is based on two criteria: (1) the source is publicly accessible with a verifiable URL, and (2) the source has explicitly responded to the reported claims. This is important to ensure that the constructed variables do not come from assumptions or speculation, but rather from a record of real public discourse.</w:t>
      </w:r>
    </w:p>
    <w:p>
      <w:pPr>
        <w:spacing w:before="240" w:after="120"/>
        <w:lnSpc>
          <w:lnSpcVal w:line="360" w:lineRule="auto"/>
        </w:lnSpc>
      </w:pPr>
      <w:r>
        <w:rPr>
          <w:rFonts w:ascii="Times New Roman" w:hAnsi="Times New Roman"/>
          <w:b/>
          <w:sz w:val="24"/>
        </w:rPr>
        <w:t>C.1</w:t>
        <w:tab/>
        <w:t>Research Ethics and the Study of Living Subjects</w:t>
      </w:r>
    </w:p>
    <w:p>
      <w:pPr>
        <w:spacing w:before="0" w:after="120"/>
        <w:jc w:val="both"/>
        <w:lnSpc>
          <w:lnSpcVal w:line="360" w:lineRule="auto"/>
        </w:lnSpc>
      </w:pPr>
      <w:r>
        <w:rPr>
          <w:rFonts w:ascii="Times New Roman" w:hAnsi="Times New Roman"/>
          <w:b w:val="0"/>
          <w:i w:val="0"/>
          <w:sz w:val="24"/>
        </w:rPr>
        <w:t>The subject of this analysis, Mama Ghufron, is a living public figure, and the framework developed here yields a numerical value that bears directly on how his theological claims may be perceived. We therefore consider it necessary to make the ethical commitments of this study explicit rather than implicit.</w:t>
      </w:r>
    </w:p>
    <w:p>
      <w:pPr>
        <w:spacing w:before="0" w:after="120"/>
        <w:ind w:firstLine="425"/>
        <w:jc w:val="both"/>
        <w:lnSpc>
          <w:lnSpcVal w:line="360" w:lineRule="auto"/>
        </w:lnSpc>
      </w:pPr>
      <w:r>
        <w:rPr>
          <w:rFonts w:ascii="Times New Roman" w:hAnsi="Times New Roman"/>
          <w:b w:val="0"/>
          <w:i w:val="0"/>
          <w:sz w:val="24"/>
        </w:rPr>
        <w:t>We acknowledge at the outset that any analysis of a living individual carries reputational stakes that purely textual or historical studies do not (Israel and Hay, 2006: 12–15). Several mitigations have been built into the design of this paper. First, the corpus analysed consists exclusively of materials that the subject has himself published or disseminated in public fora—sermons, interviews, and broadcast statements—each of which has already entered the domain of national public discourse. Second, the paper states consistently, and at several points, that the cosine value produced by the framework is not a theological verdict, a declaration of heresy, or an assessment of personal piety; it is a measurement of distance in a specified doctrinal space relative to an explicitly defined reference vector. Third, every claim attributed to the subject is accompanied by a verifiable source citation, allowing readers to inspect the textual basis of each coding decision. Fourth, the subject’s identification cannot be anonymised without defeating the transparency that the paper itself argues is epistemically valuable.</w:t>
      </w:r>
    </w:p>
    <w:p>
      <w:pPr>
        <w:spacing w:before="0" w:after="120"/>
        <w:ind w:firstLine="425"/>
        <w:jc w:val="both"/>
        <w:lnSpc>
          <w:lnSpcVal w:line="360" w:lineRule="auto"/>
        </w:lnSpc>
      </w:pPr>
      <w:r>
        <w:rPr>
          <w:rFonts w:ascii="Times New Roman" w:hAnsi="Times New Roman"/>
          <w:b w:val="0"/>
          <w:i w:val="0"/>
          <w:sz w:val="24"/>
        </w:rPr>
        <w:t>We are also aware of the potential for misuse: a numerical output can be weaponised to stigmatise. We mitigate this by stating that normative theological judgements—including any consequential ruling—remain the exclusive prerogative of institutions possessing recognised syarʿi authority; the framework offers descriptive input, not prescriptive output (Hallaq, 2009: 167).</w:t>
      </w:r>
    </w:p>
    <w:p>
      <w:pPr>
        <w:spacing w:before="0" w:after="120"/>
        <w:ind w:firstLine="425"/>
        <w:jc w:val="both"/>
        <w:lnSpc>
          <w:lnSpcVal w:line="360" w:lineRule="auto"/>
        </w:lnSpc>
      </w:pPr>
      <w:r>
        <w:rPr>
          <w:rFonts w:ascii="Times New Roman" w:hAnsi="Times New Roman"/>
          <w:b w:val="0"/>
          <w:i w:val="0"/>
          <w:sz w:val="24"/>
        </w:rPr>
        <w:t>Finally, we disclose a limitation: this study has not undergone formal review by an institutional ethics committee. Future iterations of this research programme should be submitted for review under the ethical standards articulated by Indonesian scientific associations such as AIPI or BRIN, or their international equivalents.</w:t>
      </w:r>
    </w:p>
    <w:p>
      <w:pPr>
        <w:spacing w:before="240" w:after="120"/>
        <w:lnSpc>
          <w:lnSpcVal w:line="360" w:lineRule="auto"/>
        </w:lnSpc>
      </w:pPr>
      <w:r>
        <w:rPr>
          <w:rFonts w:ascii="Times New Roman" w:hAnsi="Times New Roman"/>
          <w:b/>
          <w:sz w:val="24"/>
        </w:rPr>
        <w:t>D.</w:t>
        <w:tab/>
        <w:t>Dataset Construction</w:t>
      </w:r>
    </w:p>
    <w:p>
      <w:pPr>
        <w:spacing w:before="0" w:after="120"/>
        <w:jc w:val="both"/>
        <w:lnSpc>
          <w:lnSpcVal w:line="360" w:lineRule="auto"/>
        </w:lnSpc>
      </w:pPr>
      <w:r>
        <w:rPr>
          <w:rFonts w:ascii="Times New Roman" w:hAnsi="Times New Roman"/>
          <w:b w:val="0"/>
          <w:i w:val="0"/>
          <w:sz w:val="24"/>
        </w:rPr>
        <w:t>The dataset is constructed in two structurally distinct layers that reflect the comparative architecture of the model.</w:t>
      </w:r>
    </w:p>
    <w:p>
      <w:pPr>
        <w:spacing w:before="0" w:after="120"/>
        <w:ind w:firstLine="425"/>
        <w:jc w:val="both"/>
        <w:lnSpc>
          <w:lnSpcVal w:line="360" w:lineRule="auto"/>
        </w:lnSpc>
      </w:pPr>
      <w:r>
        <w:rPr>
          <w:rFonts w:ascii="Times New Roman" w:hAnsi="Times New Roman"/>
          <w:b w:val="0"/>
          <w:i w:val="0"/>
          <w:sz w:val="24"/>
        </w:rPr>
        <w:t>Layer 1: Common Foundation (20 variables, U01–U20). The first layer consists of twenty variables representing fundamental Islamic beliefs that are overwhelmingly shared across the full spectrum of Indonesian Muslim expression, including by the subject of this case study. Both vectors receive a score of 1 on this layer. The decision to include this foundational layer carries significant epistemological weight: it ensures that the model does not begin from the premise that the subject occupies the position of an outsider or non-Muslim. Rather, it acknowledges a substantial shared ground before the analysis proceeds to examine areas of reported divergence. Without this layer, the similarity score would collapse to zero—a result that would be both arithmetically predictable and epistemologically dishonest. The twenty foundation variables cover the core affirmations of Islamic faith (usul al-din): monotheism, prophethood, revealed scripture, the authority of hadith, the existence of angels and the unseen realm, eschatological beliefs (the Day of Judgement, paradise, and hellfire), the reality of the grave (alam kubur), the obligatory nature of worship, and the principle of post-mortem accountability. Their inclusion as a shared baseline is not a rhetorical concession; it is a structural requirement for a model that aspires to be fair.</w:t>
      </w:r>
    </w:p>
    <w:p>
      <w:pPr>
        <w:spacing w:before="0" w:after="120"/>
        <w:ind w:firstLine="425"/>
        <w:jc w:val="both"/>
        <w:lnSpc>
          <w:lnSpcVal w:line="360" w:lineRule="auto"/>
        </w:lnSpc>
      </w:pPr>
      <w:r>
        <w:rPr>
          <w:rFonts w:ascii="Times New Roman" w:hAnsi="Times New Roman"/>
          <w:b w:val="0"/>
          <w:i w:val="0"/>
          <w:sz w:val="24"/>
        </w:rPr>
        <w:t>Layer 2: Controversial Claims (37 variables, K01–K37). The second layer consists of thirty-seven variables derived from specific claims attributed to the subject and reported by verified Indonesian media outlets between April and October 2024. These claims were systematically gathered from six primary sources: Republika, Detik.com (including Detik Jatim), Kumparan, tvOne, Eramuslim, and Tanya Islam Yuk, supplemented by official institutional responses from MUI Pusat, MUI Malang, PBNU, and KabarJawa.</w:t>
      </w:r>
    </w:p>
    <w:p>
      <w:pPr>
        <w:spacing w:before="0" w:after="120"/>
        <w:ind w:firstLine="425"/>
        <w:jc w:val="both"/>
        <w:lnSpc>
          <w:lnSpcVal w:line="360" w:lineRule="auto"/>
        </w:lnSpc>
      </w:pPr>
      <w:r>
        <w:rPr>
          <w:rFonts w:ascii="Times New Roman" w:hAnsi="Times New Roman"/>
          <w:b w:val="0"/>
          <w:i w:val="0"/>
          <w:sz w:val="24"/>
        </w:rPr>
        <w:t>Each raw claim from the media was transformed into a normative variable—a statement of the position consistently articulated in the official communiqués of MUI and PBNU in response to the case under study. Because the variable represents this institutional norm, the MUI–PBNU Institutional Position vector (a) is uniformly valued at 1 across all 37 variables, while the subject’s claim profile (b) receives 0 on each, since the reported claim contradicts the norm. This asymmetry is precisely what drives the cosine calculation.</w:t>
      </w:r>
    </w:p>
    <w:p>
      <w:pPr>
        <w:spacing w:before="0" w:after="120"/>
        <w:ind w:firstLine="425"/>
        <w:jc w:val="both"/>
        <w:lnSpc>
          <w:lnSpcVal w:line="360" w:lineRule="auto"/>
        </w:lnSpc>
      </w:pPr>
      <w:r>
        <w:rPr>
          <w:rFonts w:ascii="Times New Roman" w:hAnsi="Times New Roman"/>
          <w:b w:val="0"/>
          <w:i w:val="0"/>
          <w:sz w:val="24"/>
        </w:rPr>
        <w:t>The 37 controversial variables cluster into five thematic groups: (1) claims of supernatural communication (K01–K07), including alleged video calls with the Angel of Death and direct conversation with Munkar, Nakir, and Izrail; (2) claims of extraordinary linguistic capacity (K08–K14), including alleged command of Syriac, the language of ants, the language of jinn, and the language of angels; (3) claims of cosmological authority (K15–K16, K23–K27), including alleged capacity to guard hellfire, summon Angel Jibril, postpone the Day of Judgement, and serve as Nabi Sulaiman’s representative; (4) claims of unverified textual authority (K17–K20, K30–K37), including alleged authorship of 500 Syriac-language religious texts, unauthorised Qurʼanic interpretation, and self-composed hadith; and (5) claims of direct divine access (K21–K22, K25–K26, K28–K29), including alleged ability to transform ordinary water into zamzam water and direct learning from Allah over forty years.</w:t>
      </w:r>
    </w:p>
    <w:p>
      <w:pPr>
        <w:spacing w:before="0" w:after="120"/>
        <w:ind w:firstLine="425"/>
        <w:jc w:val="both"/>
        <w:lnSpc>
          <w:lnSpcVal w:line="360" w:lineRule="auto"/>
        </w:lnSpc>
      </w:pPr>
      <w:r>
        <w:rPr>
          <w:rFonts w:ascii="Times New Roman" w:hAnsi="Times New Roman"/>
          <w:b/>
          <w:i w:val="0"/>
          <w:sz w:val="24"/>
        </w:rPr>
        <w:t xml:space="preserve">On the Theological Status of the Foundation Vector. </w:t>
      </w:r>
      <w:r>
        <w:rPr>
          <w:rFonts w:ascii="Times New Roman" w:hAnsi="Times New Roman"/>
          <w:b w:val="0"/>
          <w:i w:val="0"/>
          <w:sz w:val="24"/>
        </w:rPr>
        <w:t xml:space="preserve">A methodologically honest treatment requires acknowledging that the selection of the twenty foundation variables is itself a theological decision and not a neutral mathematical operation. The variables were drawn from the minimal intersection of arkan al-iman (the six articles of faith) and arkan al-Islam (the five pillars of practice) as these are jointly affirmed across the three principal Sunni theological schools—Ashʿari, Maturidi, and Athari (Brown, 2009: 178–182). What the foundation vector encodes, therefore, is not ‘Islam’ in any maximalist sense but the </w:t>
      </w:r>
      <w:r>
        <w:rPr>
          <w:rFonts w:ascii="Times New Roman" w:hAnsi="Times New Roman"/>
          <w:b w:val="0"/>
          <w:i/>
          <w:sz w:val="24"/>
        </w:rPr>
        <w:t>lowest common denominator</w:t>
      </w:r>
      <w:r>
        <w:rPr>
          <w:rFonts w:ascii="Times New Roman" w:hAnsi="Times New Roman"/>
          <w:b w:val="0"/>
          <w:i w:val="0"/>
          <w:sz w:val="24"/>
        </w:rPr>
        <w:t xml:space="preserve"> of doctrinal commitments that no recognised Sunni school contests. Points of intra-Sunni disagreement were deliberately excluded precisely because they fail this cross-school invariance test. We further concede that the label ‘Mainstream Islamic Position,’ as used in earlier drafts, is sociologically problematic: the Indonesian Muslim public sphere is constituted by genuinely competing institutional voices (Hefner, 2011: 56–58; Bruinessen, 2013: 22), and no single vector can claim to represent all of them. We therefore relabel the reference vector as the </w:t>
      </w:r>
      <w:r>
        <w:rPr>
          <w:rFonts w:ascii="Times New Roman" w:hAnsi="Times New Roman"/>
          <w:b/>
          <w:i w:val="0"/>
          <w:sz w:val="24"/>
        </w:rPr>
        <w:t>MUI–PBNU Institutional Position</w:t>
      </w:r>
      <w:r>
        <w:rPr>
          <w:rFonts w:ascii="Times New Roman" w:hAnsi="Times New Roman"/>
          <w:b w:val="0"/>
          <w:i w:val="0"/>
          <w:sz w:val="24"/>
        </w:rPr>
        <w:t>, operationally defined as the position consistently articulated in the official communiqués of the Majelis Ulama Indonesia and Pengurus Besar Nahdlatul Ulama in their formal responses to the case under study. Finally, the fact that the foundation vector reflects a theological judgement is not a defect of the method but a constitutive feature of it: unlike implicit normative commitments that often shape public discourse without being named, the choices made here are documented, bounded, and contestable.</w:t>
      </w:r>
    </w:p>
    <w:p>
      <w:pPr>
        <w:spacing w:before="0" w:after="120"/>
        <w:ind w:firstLine="425"/>
        <w:jc w:val="both"/>
        <w:lnSpc>
          <w:lnSpcVal w:line="360" w:lineRule="auto"/>
        </w:lnSpc>
      </w:pPr>
      <w:r>
        <w:rPr>
          <w:rFonts w:ascii="Times New Roman" w:hAnsi="Times New Roman"/>
          <w:b w:val="0"/>
          <w:i w:val="0"/>
          <w:sz w:val="24"/>
        </w:rPr>
        <w:t>Every variable in the dataset is linked to at least one publicly verifiable source. The complete dataset is presented in Table 1 (common foundation) and Table 2 (controversial claims) below.</w:t>
      </w:r>
    </w:p>
    <w:p/>
    <w:p>
      <w:pPr>
        <w:jc w:val="center"/>
      </w:pPr>
      <w:r>
        <w:rPr>
          <w:rFonts w:ascii="Times New Roman" w:hAnsi="Times New Roman"/>
          <w:b/>
          <w:sz w:val="22"/>
        </w:rPr>
        <w:t>Table 1. Common Foundation Variables (a = 1, b = 1 for both vectors)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b/>
                <w:sz w:val="20"/>
              </w:rPr>
              <w:t>ID</w:t>
            </w:r>
          </w:p>
        </w:tc>
        <w:tc>
          <w:tcPr>
            <w:tcW w:type="dxa" w:w="2256"/>
          </w:tcPr>
          <w:p>
            <w:r>
              <w:rPr>
                <w:b/>
                <w:sz w:val="20"/>
              </w:rPr>
              <w:t>Variable</w:t>
            </w:r>
          </w:p>
        </w:tc>
        <w:tc>
          <w:tcPr>
            <w:tcW w:type="dxa" w:w="2256"/>
          </w:tcPr>
          <w:p>
            <w:r>
              <w:rPr>
                <w:b/>
                <w:sz w:val="20"/>
              </w:rPr>
              <w:t>a</w:t>
            </w:r>
          </w:p>
        </w:tc>
        <w:tc>
          <w:tcPr>
            <w:tcW w:type="dxa" w:w="2256"/>
          </w:tcPr>
          <w:p>
            <w:r>
              <w:rPr>
                <w:b/>
                <w:sz w:val="20"/>
              </w:rPr>
              <w:t>b</w:t>
            </w:r>
          </w:p>
        </w:tc>
      </w:tr>
      <w:tr>
        <w:tc>
          <w:tcPr>
            <w:tcW w:type="dxa" w:w="2256"/>
          </w:tcPr>
          <w:p>
            <w:r>
              <w:rPr>
                <w:sz w:val="20"/>
              </w:rPr>
              <w:t>U01</w:t>
            </w:r>
          </w:p>
        </w:tc>
        <w:tc>
          <w:tcPr>
            <w:tcW w:type="dxa" w:w="2256"/>
          </w:tcPr>
          <w:p>
            <w:r>
              <w:rPr>
                <w:sz w:val="20"/>
              </w:rPr>
              <w:t>Mengakui Allah sebagai Tuhan</w:t>
            </w:r>
          </w:p>
        </w:tc>
        <w:tc>
          <w:tcPr>
            <w:tcW w:type="dxa" w:w="2256"/>
          </w:tcPr>
          <w:p>
            <w:r>
              <w:rPr>
                <w:sz w:val="20"/>
              </w:rPr>
              <w:t>1</w:t>
            </w:r>
          </w:p>
        </w:tc>
        <w:tc>
          <w:tcPr>
            <w:tcW w:type="dxa" w:w="2256"/>
          </w:tcPr>
          <w:p>
            <w:r>
              <w:rPr>
                <w:sz w:val="20"/>
              </w:rPr>
              <w:t>1</w:t>
            </w:r>
          </w:p>
        </w:tc>
      </w:tr>
      <w:tr>
        <w:tc>
          <w:tcPr>
            <w:tcW w:type="dxa" w:w="2256"/>
          </w:tcPr>
          <w:p>
            <w:r>
              <w:rPr>
                <w:sz w:val="20"/>
              </w:rPr>
              <w:t>U02</w:t>
            </w:r>
          </w:p>
        </w:tc>
        <w:tc>
          <w:tcPr>
            <w:tcW w:type="dxa" w:w="2256"/>
          </w:tcPr>
          <w:p>
            <w:r>
              <w:rPr>
                <w:sz w:val="20"/>
              </w:rPr>
              <w:t>Mengakui Nabi Muhammad sebagai Rasul</w:t>
            </w:r>
          </w:p>
        </w:tc>
        <w:tc>
          <w:tcPr>
            <w:tcW w:type="dxa" w:w="2256"/>
          </w:tcPr>
          <w:p>
            <w:r>
              <w:rPr>
                <w:sz w:val="20"/>
              </w:rPr>
              <w:t>1</w:t>
            </w:r>
          </w:p>
        </w:tc>
        <w:tc>
          <w:tcPr>
            <w:tcW w:type="dxa" w:w="2256"/>
          </w:tcPr>
          <w:p>
            <w:r>
              <w:rPr>
                <w:sz w:val="20"/>
              </w:rPr>
              <w:t>1</w:t>
            </w:r>
          </w:p>
        </w:tc>
      </w:tr>
      <w:tr>
        <w:tc>
          <w:tcPr>
            <w:tcW w:type="dxa" w:w="2256"/>
          </w:tcPr>
          <w:p>
            <w:r>
              <w:rPr>
                <w:sz w:val="20"/>
              </w:rPr>
              <w:t>U03</w:t>
            </w:r>
          </w:p>
        </w:tc>
        <w:tc>
          <w:tcPr>
            <w:tcW w:type="dxa" w:w="2256"/>
          </w:tcPr>
          <w:p>
            <w:r>
              <w:rPr>
                <w:sz w:val="20"/>
              </w:rPr>
              <w:t>Mengakui Al-Qurʼan sebagai kitab suci</w:t>
            </w:r>
          </w:p>
        </w:tc>
        <w:tc>
          <w:tcPr>
            <w:tcW w:type="dxa" w:w="2256"/>
          </w:tcPr>
          <w:p>
            <w:r>
              <w:rPr>
                <w:sz w:val="20"/>
              </w:rPr>
              <w:t>1</w:t>
            </w:r>
          </w:p>
        </w:tc>
        <w:tc>
          <w:tcPr>
            <w:tcW w:type="dxa" w:w="2256"/>
          </w:tcPr>
          <w:p>
            <w:r>
              <w:rPr>
                <w:sz w:val="20"/>
              </w:rPr>
              <w:t>1</w:t>
            </w:r>
          </w:p>
        </w:tc>
      </w:tr>
      <w:tr>
        <w:tc>
          <w:tcPr>
            <w:tcW w:type="dxa" w:w="2256"/>
          </w:tcPr>
          <w:p>
            <w:r>
              <w:rPr>
                <w:sz w:val="20"/>
              </w:rPr>
              <w:t>U04</w:t>
            </w:r>
          </w:p>
        </w:tc>
        <w:tc>
          <w:tcPr>
            <w:tcW w:type="dxa" w:w="2256"/>
          </w:tcPr>
          <w:p>
            <w:r>
              <w:rPr>
                <w:sz w:val="20"/>
              </w:rPr>
              <w:t>Mengakui hadis sebagai sumber ajaran Islam</w:t>
            </w:r>
          </w:p>
        </w:tc>
        <w:tc>
          <w:tcPr>
            <w:tcW w:type="dxa" w:w="2256"/>
          </w:tcPr>
          <w:p>
            <w:r>
              <w:rPr>
                <w:sz w:val="20"/>
              </w:rPr>
              <w:t>1</w:t>
            </w:r>
          </w:p>
        </w:tc>
        <w:tc>
          <w:tcPr>
            <w:tcW w:type="dxa" w:w="2256"/>
          </w:tcPr>
          <w:p>
            <w:r>
              <w:rPr>
                <w:sz w:val="20"/>
              </w:rPr>
              <w:t>1</w:t>
            </w:r>
          </w:p>
        </w:tc>
      </w:tr>
      <w:tr>
        <w:tc>
          <w:tcPr>
            <w:tcW w:type="dxa" w:w="2256"/>
          </w:tcPr>
          <w:p>
            <w:r>
              <w:rPr>
                <w:sz w:val="20"/>
              </w:rPr>
              <w:t>U05</w:t>
            </w:r>
          </w:p>
        </w:tc>
        <w:tc>
          <w:tcPr>
            <w:tcW w:type="dxa" w:w="2256"/>
          </w:tcPr>
          <w:p>
            <w:r>
              <w:rPr>
                <w:sz w:val="20"/>
              </w:rPr>
              <w:t>Mengakui keberadaan malaikat</w:t>
            </w:r>
          </w:p>
        </w:tc>
        <w:tc>
          <w:tcPr>
            <w:tcW w:type="dxa" w:w="2256"/>
          </w:tcPr>
          <w:p>
            <w:r>
              <w:rPr>
                <w:sz w:val="20"/>
              </w:rPr>
              <w:t>1</w:t>
            </w:r>
          </w:p>
        </w:tc>
        <w:tc>
          <w:tcPr>
            <w:tcW w:type="dxa" w:w="2256"/>
          </w:tcPr>
          <w:p>
            <w:r>
              <w:rPr>
                <w:sz w:val="20"/>
              </w:rPr>
              <w:t>1</w:t>
            </w:r>
          </w:p>
        </w:tc>
      </w:tr>
      <w:tr>
        <w:tc>
          <w:tcPr>
            <w:tcW w:type="dxa" w:w="2256"/>
          </w:tcPr>
          <w:p>
            <w:r>
              <w:rPr>
                <w:sz w:val="20"/>
              </w:rPr>
              <w:t>U06</w:t>
            </w:r>
          </w:p>
        </w:tc>
        <w:tc>
          <w:tcPr>
            <w:tcW w:type="dxa" w:w="2256"/>
          </w:tcPr>
          <w:p>
            <w:r>
              <w:rPr>
                <w:sz w:val="20"/>
              </w:rPr>
              <w:t>Mengakui adanya alam gaib</w:t>
            </w:r>
          </w:p>
        </w:tc>
        <w:tc>
          <w:tcPr>
            <w:tcW w:type="dxa" w:w="2256"/>
          </w:tcPr>
          <w:p>
            <w:r>
              <w:rPr>
                <w:sz w:val="20"/>
              </w:rPr>
              <w:t>1</w:t>
            </w:r>
          </w:p>
        </w:tc>
        <w:tc>
          <w:tcPr>
            <w:tcW w:type="dxa" w:w="2256"/>
          </w:tcPr>
          <w:p>
            <w:r>
              <w:rPr>
                <w:sz w:val="20"/>
              </w:rPr>
              <w:t>1</w:t>
            </w:r>
          </w:p>
        </w:tc>
      </w:tr>
      <w:tr>
        <w:tc>
          <w:tcPr>
            <w:tcW w:type="dxa" w:w="2256"/>
          </w:tcPr>
          <w:p>
            <w:r>
              <w:rPr>
                <w:sz w:val="20"/>
              </w:rPr>
              <w:t>U07</w:t>
            </w:r>
          </w:p>
        </w:tc>
        <w:tc>
          <w:tcPr>
            <w:tcW w:type="dxa" w:w="2256"/>
          </w:tcPr>
          <w:p>
            <w:r>
              <w:rPr>
                <w:sz w:val="20"/>
              </w:rPr>
              <w:t>Mengakui adanya hari akhir</w:t>
            </w:r>
          </w:p>
        </w:tc>
        <w:tc>
          <w:tcPr>
            <w:tcW w:type="dxa" w:w="2256"/>
          </w:tcPr>
          <w:p>
            <w:r>
              <w:rPr>
                <w:sz w:val="20"/>
              </w:rPr>
              <w:t>1</w:t>
            </w:r>
          </w:p>
        </w:tc>
        <w:tc>
          <w:tcPr>
            <w:tcW w:type="dxa" w:w="2256"/>
          </w:tcPr>
          <w:p>
            <w:r>
              <w:rPr>
                <w:sz w:val="20"/>
              </w:rPr>
              <w:t>1</w:t>
            </w:r>
          </w:p>
        </w:tc>
      </w:tr>
      <w:tr>
        <w:tc>
          <w:tcPr>
            <w:tcW w:type="dxa" w:w="2256"/>
          </w:tcPr>
          <w:p>
            <w:r>
              <w:rPr>
                <w:sz w:val="20"/>
              </w:rPr>
              <w:t>U08</w:t>
            </w:r>
          </w:p>
        </w:tc>
        <w:tc>
          <w:tcPr>
            <w:tcW w:type="dxa" w:w="2256"/>
          </w:tcPr>
          <w:p>
            <w:r>
              <w:rPr>
                <w:sz w:val="20"/>
              </w:rPr>
              <w:t>Mengakui adanya surga dan neraka</w:t>
            </w:r>
          </w:p>
        </w:tc>
        <w:tc>
          <w:tcPr>
            <w:tcW w:type="dxa" w:w="2256"/>
          </w:tcPr>
          <w:p>
            <w:r>
              <w:rPr>
                <w:sz w:val="20"/>
              </w:rPr>
              <w:t>1</w:t>
            </w:r>
          </w:p>
        </w:tc>
        <w:tc>
          <w:tcPr>
            <w:tcW w:type="dxa" w:w="2256"/>
          </w:tcPr>
          <w:p>
            <w:r>
              <w:rPr>
                <w:sz w:val="20"/>
              </w:rPr>
              <w:t>1</w:t>
            </w:r>
          </w:p>
        </w:tc>
      </w:tr>
      <w:tr>
        <w:tc>
          <w:tcPr>
            <w:tcW w:type="dxa" w:w="2256"/>
          </w:tcPr>
          <w:p>
            <w:r>
              <w:rPr>
                <w:sz w:val="20"/>
              </w:rPr>
              <w:t>U09</w:t>
            </w:r>
          </w:p>
        </w:tc>
        <w:tc>
          <w:tcPr>
            <w:tcW w:type="dxa" w:w="2256"/>
          </w:tcPr>
          <w:p>
            <w:r>
              <w:rPr>
                <w:sz w:val="20"/>
              </w:rPr>
              <w:t>Mengakui adanya alam kubur</w:t>
            </w:r>
          </w:p>
        </w:tc>
        <w:tc>
          <w:tcPr>
            <w:tcW w:type="dxa" w:w="2256"/>
          </w:tcPr>
          <w:p>
            <w:r>
              <w:rPr>
                <w:sz w:val="20"/>
              </w:rPr>
              <w:t>1</w:t>
            </w:r>
          </w:p>
        </w:tc>
        <w:tc>
          <w:tcPr>
            <w:tcW w:type="dxa" w:w="2256"/>
          </w:tcPr>
          <w:p>
            <w:r>
              <w:rPr>
                <w:sz w:val="20"/>
              </w:rPr>
              <w:t>1</w:t>
            </w:r>
          </w:p>
        </w:tc>
      </w:tr>
      <w:tr>
        <w:tc>
          <w:tcPr>
            <w:tcW w:type="dxa" w:w="2256"/>
          </w:tcPr>
          <w:p>
            <w:r>
              <w:rPr>
                <w:sz w:val="20"/>
              </w:rPr>
              <w:t>U10</w:t>
            </w:r>
          </w:p>
        </w:tc>
        <w:tc>
          <w:tcPr>
            <w:tcW w:type="dxa" w:w="2256"/>
          </w:tcPr>
          <w:p>
            <w:r>
              <w:rPr>
                <w:sz w:val="20"/>
              </w:rPr>
              <w:t>Mengakui pentingnya doa</w:t>
            </w:r>
          </w:p>
        </w:tc>
        <w:tc>
          <w:tcPr>
            <w:tcW w:type="dxa" w:w="2256"/>
          </w:tcPr>
          <w:p>
            <w:r>
              <w:rPr>
                <w:sz w:val="20"/>
              </w:rPr>
              <w:t>1</w:t>
            </w:r>
          </w:p>
        </w:tc>
        <w:tc>
          <w:tcPr>
            <w:tcW w:type="dxa" w:w="2256"/>
          </w:tcPr>
          <w:p>
            <w:r>
              <w:rPr>
                <w:sz w:val="20"/>
              </w:rPr>
              <w:t>1</w:t>
            </w:r>
          </w:p>
        </w:tc>
      </w:tr>
      <w:tr>
        <w:tc>
          <w:tcPr>
            <w:tcW w:type="dxa" w:w="2256"/>
          </w:tcPr>
          <w:p>
            <w:r>
              <w:rPr>
                <w:sz w:val="20"/>
              </w:rPr>
              <w:t>U11</w:t>
            </w:r>
          </w:p>
        </w:tc>
        <w:tc>
          <w:tcPr>
            <w:tcW w:type="dxa" w:w="2256"/>
          </w:tcPr>
          <w:p>
            <w:r>
              <w:rPr>
                <w:sz w:val="20"/>
              </w:rPr>
              <w:t>Mengakui pentingnya ibadah</w:t>
            </w:r>
          </w:p>
        </w:tc>
        <w:tc>
          <w:tcPr>
            <w:tcW w:type="dxa" w:w="2256"/>
          </w:tcPr>
          <w:p>
            <w:r>
              <w:rPr>
                <w:sz w:val="20"/>
              </w:rPr>
              <w:t>1</w:t>
            </w:r>
          </w:p>
        </w:tc>
        <w:tc>
          <w:tcPr>
            <w:tcW w:type="dxa" w:w="2256"/>
          </w:tcPr>
          <w:p>
            <w:r>
              <w:rPr>
                <w:sz w:val="20"/>
              </w:rPr>
              <w:t>1</w:t>
            </w:r>
          </w:p>
        </w:tc>
      </w:tr>
      <w:tr>
        <w:tc>
          <w:tcPr>
            <w:tcW w:type="dxa" w:w="2256"/>
          </w:tcPr>
          <w:p>
            <w:r>
              <w:rPr>
                <w:sz w:val="20"/>
              </w:rPr>
              <w:t>U12</w:t>
            </w:r>
          </w:p>
        </w:tc>
        <w:tc>
          <w:tcPr>
            <w:tcW w:type="dxa" w:w="2256"/>
          </w:tcPr>
          <w:p>
            <w:r>
              <w:rPr>
                <w:sz w:val="20"/>
              </w:rPr>
              <w:t>Mengakui pentingnya iman kepada Allah</w:t>
            </w:r>
          </w:p>
        </w:tc>
        <w:tc>
          <w:tcPr>
            <w:tcW w:type="dxa" w:w="2256"/>
          </w:tcPr>
          <w:p>
            <w:r>
              <w:rPr>
                <w:sz w:val="20"/>
              </w:rPr>
              <w:t>1</w:t>
            </w:r>
          </w:p>
        </w:tc>
        <w:tc>
          <w:tcPr>
            <w:tcW w:type="dxa" w:w="2256"/>
          </w:tcPr>
          <w:p>
            <w:r>
              <w:rPr>
                <w:sz w:val="20"/>
              </w:rPr>
              <w:t>1</w:t>
            </w:r>
          </w:p>
        </w:tc>
      </w:tr>
      <w:tr>
        <w:tc>
          <w:tcPr>
            <w:tcW w:type="dxa" w:w="2256"/>
          </w:tcPr>
          <w:p>
            <w:r>
              <w:rPr>
                <w:sz w:val="20"/>
              </w:rPr>
              <w:t>U13</w:t>
            </w:r>
          </w:p>
        </w:tc>
        <w:tc>
          <w:tcPr>
            <w:tcW w:type="dxa" w:w="2256"/>
          </w:tcPr>
          <w:p>
            <w:r>
              <w:rPr>
                <w:sz w:val="20"/>
              </w:rPr>
              <w:t>Mengakui kisah para nabi sebagai bagian dari ajaran Islam</w:t>
            </w:r>
          </w:p>
        </w:tc>
        <w:tc>
          <w:tcPr>
            <w:tcW w:type="dxa" w:w="2256"/>
          </w:tcPr>
          <w:p>
            <w:r>
              <w:rPr>
                <w:sz w:val="20"/>
              </w:rPr>
              <w:t>1</w:t>
            </w:r>
          </w:p>
        </w:tc>
        <w:tc>
          <w:tcPr>
            <w:tcW w:type="dxa" w:w="2256"/>
          </w:tcPr>
          <w:p>
            <w:r>
              <w:rPr>
                <w:sz w:val="20"/>
              </w:rPr>
              <w:t>1</w:t>
            </w:r>
          </w:p>
        </w:tc>
      </w:tr>
      <w:tr>
        <w:tc>
          <w:tcPr>
            <w:tcW w:type="dxa" w:w="2256"/>
          </w:tcPr>
          <w:p>
            <w:r>
              <w:rPr>
                <w:sz w:val="20"/>
              </w:rPr>
              <w:t>U14</w:t>
            </w:r>
          </w:p>
        </w:tc>
        <w:tc>
          <w:tcPr>
            <w:tcW w:type="dxa" w:w="2256"/>
          </w:tcPr>
          <w:p>
            <w:r>
              <w:rPr>
                <w:sz w:val="20"/>
              </w:rPr>
              <w:t>Mengakui Nabi Sulaiman sebagai nabi</w:t>
            </w:r>
          </w:p>
        </w:tc>
        <w:tc>
          <w:tcPr>
            <w:tcW w:type="dxa" w:w="2256"/>
          </w:tcPr>
          <w:p>
            <w:r>
              <w:rPr>
                <w:sz w:val="20"/>
              </w:rPr>
              <w:t>1</w:t>
            </w:r>
          </w:p>
        </w:tc>
        <w:tc>
          <w:tcPr>
            <w:tcW w:type="dxa" w:w="2256"/>
          </w:tcPr>
          <w:p>
            <w:r>
              <w:rPr>
                <w:sz w:val="20"/>
              </w:rPr>
              <w:t>1</w:t>
            </w:r>
          </w:p>
        </w:tc>
      </w:tr>
      <w:tr>
        <w:tc>
          <w:tcPr>
            <w:tcW w:type="dxa" w:w="2256"/>
          </w:tcPr>
          <w:p>
            <w:r>
              <w:rPr>
                <w:sz w:val="20"/>
              </w:rPr>
              <w:t>U15</w:t>
            </w:r>
          </w:p>
        </w:tc>
        <w:tc>
          <w:tcPr>
            <w:tcW w:type="dxa" w:w="2256"/>
          </w:tcPr>
          <w:p>
            <w:r>
              <w:rPr>
                <w:sz w:val="20"/>
              </w:rPr>
              <w:t>Mengakui Malaikat Jibril sebagai bagian dari ajaran Islam</w:t>
            </w:r>
          </w:p>
        </w:tc>
        <w:tc>
          <w:tcPr>
            <w:tcW w:type="dxa" w:w="2256"/>
          </w:tcPr>
          <w:p>
            <w:r>
              <w:rPr>
                <w:sz w:val="20"/>
              </w:rPr>
              <w:t>1</w:t>
            </w:r>
          </w:p>
        </w:tc>
        <w:tc>
          <w:tcPr>
            <w:tcW w:type="dxa" w:w="2256"/>
          </w:tcPr>
          <w:p>
            <w:r>
              <w:rPr>
                <w:sz w:val="20"/>
              </w:rPr>
              <w:t>1</w:t>
            </w:r>
          </w:p>
        </w:tc>
      </w:tr>
      <w:tr>
        <w:tc>
          <w:tcPr>
            <w:tcW w:type="dxa" w:w="2256"/>
          </w:tcPr>
          <w:p>
            <w:r>
              <w:rPr>
                <w:sz w:val="20"/>
              </w:rPr>
              <w:t>U16</w:t>
            </w:r>
          </w:p>
        </w:tc>
        <w:tc>
          <w:tcPr>
            <w:tcW w:type="dxa" w:w="2256"/>
          </w:tcPr>
          <w:p>
            <w:r>
              <w:rPr>
                <w:sz w:val="20"/>
              </w:rPr>
              <w:t>Mengakui Malaikat Munkar dan Nakir dalam keyakinan Islam</w:t>
            </w:r>
          </w:p>
        </w:tc>
        <w:tc>
          <w:tcPr>
            <w:tcW w:type="dxa" w:w="2256"/>
          </w:tcPr>
          <w:p>
            <w:r>
              <w:rPr>
                <w:sz w:val="20"/>
              </w:rPr>
              <w:t>1</w:t>
            </w:r>
          </w:p>
        </w:tc>
        <w:tc>
          <w:tcPr>
            <w:tcW w:type="dxa" w:w="2256"/>
          </w:tcPr>
          <w:p>
            <w:r>
              <w:rPr>
                <w:sz w:val="20"/>
              </w:rPr>
              <w:t>1</w:t>
            </w:r>
          </w:p>
        </w:tc>
      </w:tr>
      <w:tr>
        <w:tc>
          <w:tcPr>
            <w:tcW w:type="dxa" w:w="2256"/>
          </w:tcPr>
          <w:p>
            <w:r>
              <w:rPr>
                <w:sz w:val="20"/>
              </w:rPr>
              <w:t>U17</w:t>
            </w:r>
          </w:p>
        </w:tc>
        <w:tc>
          <w:tcPr>
            <w:tcW w:type="dxa" w:w="2256"/>
          </w:tcPr>
          <w:p>
            <w:r>
              <w:rPr>
                <w:sz w:val="20"/>
              </w:rPr>
              <w:t>Mengakui kematian sebagai ketetapan Allah</w:t>
            </w:r>
          </w:p>
        </w:tc>
        <w:tc>
          <w:tcPr>
            <w:tcW w:type="dxa" w:w="2256"/>
          </w:tcPr>
          <w:p>
            <w:r>
              <w:rPr>
                <w:sz w:val="20"/>
              </w:rPr>
              <w:t>1</w:t>
            </w:r>
          </w:p>
        </w:tc>
        <w:tc>
          <w:tcPr>
            <w:tcW w:type="dxa" w:w="2256"/>
          </w:tcPr>
          <w:p>
            <w:r>
              <w:rPr>
                <w:sz w:val="20"/>
              </w:rPr>
              <w:t>1</w:t>
            </w:r>
          </w:p>
        </w:tc>
      </w:tr>
      <w:tr>
        <w:tc>
          <w:tcPr>
            <w:tcW w:type="dxa" w:w="2256"/>
          </w:tcPr>
          <w:p>
            <w:r>
              <w:rPr>
                <w:sz w:val="20"/>
              </w:rPr>
              <w:t>U18</w:t>
            </w:r>
          </w:p>
        </w:tc>
        <w:tc>
          <w:tcPr>
            <w:tcW w:type="dxa" w:w="2256"/>
          </w:tcPr>
          <w:p>
            <w:r>
              <w:rPr>
                <w:sz w:val="20"/>
              </w:rPr>
              <w:t>Mengakui bahwa agama punya otoritas wahyu</w:t>
            </w:r>
          </w:p>
        </w:tc>
        <w:tc>
          <w:tcPr>
            <w:tcW w:type="dxa" w:w="2256"/>
          </w:tcPr>
          <w:p>
            <w:r>
              <w:rPr>
                <w:sz w:val="20"/>
              </w:rPr>
              <w:t>1</w:t>
            </w:r>
          </w:p>
        </w:tc>
        <w:tc>
          <w:tcPr>
            <w:tcW w:type="dxa" w:w="2256"/>
          </w:tcPr>
          <w:p>
            <w:r>
              <w:rPr>
                <w:sz w:val="20"/>
              </w:rPr>
              <w:t>1</w:t>
            </w:r>
          </w:p>
        </w:tc>
      </w:tr>
      <w:tr>
        <w:tc>
          <w:tcPr>
            <w:tcW w:type="dxa" w:w="2256"/>
          </w:tcPr>
          <w:p>
            <w:r>
              <w:rPr>
                <w:sz w:val="20"/>
              </w:rPr>
              <w:t>U19</w:t>
            </w:r>
          </w:p>
        </w:tc>
        <w:tc>
          <w:tcPr>
            <w:tcW w:type="dxa" w:w="2256"/>
          </w:tcPr>
          <w:p>
            <w:r>
              <w:rPr>
                <w:sz w:val="20"/>
              </w:rPr>
              <w:t>Mengakui bahwa ajaran Islam berkaitan dengan dunia dan akhirat</w:t>
            </w:r>
          </w:p>
        </w:tc>
        <w:tc>
          <w:tcPr>
            <w:tcW w:type="dxa" w:w="2256"/>
          </w:tcPr>
          <w:p>
            <w:r>
              <w:rPr>
                <w:sz w:val="20"/>
              </w:rPr>
              <w:t>1</w:t>
            </w:r>
          </w:p>
        </w:tc>
        <w:tc>
          <w:tcPr>
            <w:tcW w:type="dxa" w:w="2256"/>
          </w:tcPr>
          <w:p>
            <w:r>
              <w:rPr>
                <w:sz w:val="20"/>
              </w:rPr>
              <w:t>1</w:t>
            </w:r>
          </w:p>
        </w:tc>
      </w:tr>
      <w:tr>
        <w:tc>
          <w:tcPr>
            <w:tcW w:type="dxa" w:w="2256"/>
          </w:tcPr>
          <w:p>
            <w:r>
              <w:rPr>
                <w:sz w:val="20"/>
              </w:rPr>
              <w:t>U20</w:t>
            </w:r>
          </w:p>
        </w:tc>
        <w:tc>
          <w:tcPr>
            <w:tcW w:type="dxa" w:w="2256"/>
          </w:tcPr>
          <w:p>
            <w:r>
              <w:rPr>
                <w:sz w:val="20"/>
              </w:rPr>
              <w:t>Mengakui pertanggungjawaban manusia setelah mati</w:t>
            </w:r>
          </w:p>
        </w:tc>
        <w:tc>
          <w:tcPr>
            <w:tcW w:type="dxa" w:w="2256"/>
          </w:tcPr>
          <w:p>
            <w:r>
              <w:rPr>
                <w:sz w:val="20"/>
              </w:rPr>
              <w:t>1</w:t>
            </w:r>
          </w:p>
        </w:tc>
        <w:tc>
          <w:tcPr>
            <w:tcW w:type="dxa" w:w="2256"/>
          </w:tcPr>
          <w:p>
            <w:r>
              <w:rPr>
                <w:sz w:val="20"/>
              </w:rPr>
              <w:t>1</w:t>
            </w:r>
          </w:p>
        </w:tc>
      </w:tr>
    </w:tbl>
    <w:p/>
    <w:p>
      <w:pPr>
        <w:jc w:val="center"/>
      </w:pPr>
      <w:r>
        <w:rPr>
          <w:rFonts w:ascii="Times New Roman" w:hAnsi="Times New Roman"/>
          <w:b/>
          <w:sz w:val="22"/>
        </w:rPr>
        <w:t>Table 2. Controversial Claims Variables (a = MUI–PBNU Institutional Position = 1, b = subject’s claim profile = 0)</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sz w:val="18"/>
              </w:rPr>
              <w:t>ID</w:t>
            </w:r>
          </w:p>
        </w:tc>
        <w:tc>
          <w:tcPr>
            <w:tcW w:type="dxa" w:w="1805"/>
          </w:tcPr>
          <w:p>
            <w:r>
              <w:rPr>
                <w:b/>
                <w:sz w:val="18"/>
              </w:rPr>
              <w:t>Source Claim</w:t>
            </w:r>
          </w:p>
        </w:tc>
        <w:tc>
          <w:tcPr>
            <w:tcW w:type="dxa" w:w="1805"/>
          </w:tcPr>
          <w:p>
            <w:r>
              <w:rPr>
                <w:b/>
                <w:sz w:val="18"/>
              </w:rPr>
              <w:t>Variable (Institutional Norm)</w:t>
            </w:r>
          </w:p>
        </w:tc>
        <w:tc>
          <w:tcPr>
            <w:tcW w:type="dxa" w:w="1805"/>
          </w:tcPr>
          <w:p>
            <w:r>
              <w:rPr>
                <w:b/>
                <w:sz w:val="18"/>
              </w:rPr>
              <w:t>Source</w:t>
            </w:r>
          </w:p>
        </w:tc>
        <w:tc>
          <w:tcPr>
            <w:tcW w:type="dxa" w:w="1805"/>
          </w:tcPr>
          <w:p>
            <w:r>
              <w:rPr>
                <w:b/>
                <w:sz w:val="18"/>
              </w:rPr>
              <w:t>b</w:t>
            </w:r>
          </w:p>
        </w:tc>
      </w:tr>
      <w:tr>
        <w:tc>
          <w:tcPr>
            <w:tcW w:type="dxa" w:w="1805"/>
          </w:tcPr>
          <w:p>
            <w:r>
              <w:rPr>
                <w:sz w:val="18"/>
              </w:rPr>
              <w:t>K01</w:t>
            </w:r>
          </w:p>
        </w:tc>
        <w:tc>
          <w:tcPr>
            <w:tcW w:type="dxa" w:w="1805"/>
          </w:tcPr>
          <w:p>
            <w:r>
              <w:rPr>
                <w:sz w:val="18"/>
              </w:rPr>
              <w:t>Mengaku video call dengan malaikat maut</w:t>
            </w:r>
          </w:p>
        </w:tc>
        <w:tc>
          <w:tcPr>
            <w:tcW w:type="dxa" w:w="1805"/>
          </w:tcPr>
          <w:p>
            <w:r>
              <w:rPr>
                <w:sz w:val="18"/>
              </w:rPr>
              <w:t>Tidak membuat klaim komunikasi gaib yang tidak berdasar</w:t>
            </w:r>
          </w:p>
        </w:tc>
        <w:tc>
          <w:tcPr>
            <w:tcW w:type="dxa" w:w="1805"/>
          </w:tcPr>
          <w:p>
            <w:r>
              <w:rPr>
                <w:sz w:val="18"/>
              </w:rPr>
              <w:t>MUI Pusat</w:t>
            </w:r>
          </w:p>
        </w:tc>
        <w:tc>
          <w:tcPr>
            <w:tcW w:type="dxa" w:w="1805"/>
          </w:tcPr>
          <w:p>
            <w:r>
              <w:rPr>
                <w:sz w:val="18"/>
              </w:rPr>
              <w:t>0</w:t>
            </w:r>
          </w:p>
        </w:tc>
      </w:tr>
      <w:tr>
        <w:tc>
          <w:tcPr>
            <w:tcW w:type="dxa" w:w="1805"/>
          </w:tcPr>
          <w:p>
            <w:r>
              <w:rPr>
                <w:sz w:val="18"/>
              </w:rPr>
              <w:t>K02</w:t>
            </w:r>
          </w:p>
        </w:tc>
        <w:tc>
          <w:tcPr>
            <w:tcW w:type="dxa" w:w="1805"/>
          </w:tcPr>
          <w:p>
            <w:r>
              <w:rPr>
                <w:sz w:val="18"/>
              </w:rPr>
              <w:t>Mengaku video call dengan malaikat maut memakai bahasa Suryani</w:t>
            </w:r>
          </w:p>
        </w:tc>
        <w:tc>
          <w:tcPr>
            <w:tcW w:type="dxa" w:w="1805"/>
          </w:tcPr>
          <w:p>
            <w:r>
              <w:rPr>
                <w:sz w:val="18"/>
              </w:rPr>
              <w:t>Tidak mengklaim komunikasi gaib dengan malaikat maut memakai bahasa khusus</w:t>
            </w:r>
          </w:p>
        </w:tc>
        <w:tc>
          <w:tcPr>
            <w:tcW w:type="dxa" w:w="1805"/>
          </w:tcPr>
          <w:p>
            <w:r>
              <w:rPr>
                <w:sz w:val="18"/>
              </w:rPr>
              <w:t>Republika</w:t>
            </w:r>
          </w:p>
        </w:tc>
        <w:tc>
          <w:tcPr>
            <w:tcW w:type="dxa" w:w="1805"/>
          </w:tcPr>
          <w:p>
            <w:r>
              <w:rPr>
                <w:sz w:val="18"/>
              </w:rPr>
              <w:t>0</w:t>
            </w:r>
          </w:p>
        </w:tc>
      </w:tr>
      <w:tr>
        <w:tc>
          <w:tcPr>
            <w:tcW w:type="dxa" w:w="1805"/>
          </w:tcPr>
          <w:p>
            <w:r>
              <w:rPr>
                <w:sz w:val="18"/>
              </w:rPr>
              <w:t>K03</w:t>
            </w:r>
          </w:p>
        </w:tc>
        <w:tc>
          <w:tcPr>
            <w:tcW w:type="dxa" w:w="1805"/>
          </w:tcPr>
          <w:p>
            <w:r>
              <w:rPr>
                <w:sz w:val="18"/>
              </w:rPr>
              <w:t>Mengaku melakukan panggilan video dengan Munkar dan Nakir</w:t>
            </w:r>
          </w:p>
        </w:tc>
        <w:tc>
          <w:tcPr>
            <w:tcW w:type="dxa" w:w="1805"/>
          </w:tcPr>
          <w:p>
            <w:r>
              <w:rPr>
                <w:sz w:val="18"/>
              </w:rPr>
              <w:t>Tidak mengklaim komunikasi langsung dengan malaikat kubur</w:t>
            </w:r>
          </w:p>
        </w:tc>
        <w:tc>
          <w:tcPr>
            <w:tcW w:type="dxa" w:w="1805"/>
          </w:tcPr>
          <w:p>
            <w:r>
              <w:rPr>
                <w:sz w:val="18"/>
              </w:rPr>
              <w:t>Kumparan</w:t>
            </w:r>
          </w:p>
        </w:tc>
        <w:tc>
          <w:tcPr>
            <w:tcW w:type="dxa" w:w="1805"/>
          </w:tcPr>
          <w:p>
            <w:r>
              <w:rPr>
                <w:sz w:val="18"/>
              </w:rPr>
              <w:t>0</w:t>
            </w:r>
          </w:p>
        </w:tc>
      </w:tr>
      <w:tr>
        <w:tc>
          <w:tcPr>
            <w:tcW w:type="dxa" w:w="1805"/>
          </w:tcPr>
          <w:p>
            <w:r>
              <w:rPr>
                <w:sz w:val="18"/>
              </w:rPr>
              <w:t>K04</w:t>
            </w:r>
          </w:p>
        </w:tc>
        <w:tc>
          <w:tcPr>
            <w:tcW w:type="dxa" w:w="1805"/>
          </w:tcPr>
          <w:p>
            <w:r>
              <w:rPr>
                <w:sz w:val="18"/>
              </w:rPr>
              <w:t>Mengaku bisa mengatur pertanyaan kubur santrinya</w:t>
            </w:r>
          </w:p>
        </w:tc>
        <w:tc>
          <w:tcPr>
            <w:tcW w:type="dxa" w:w="1805"/>
          </w:tcPr>
          <w:p>
            <w:r>
              <w:rPr>
                <w:sz w:val="18"/>
              </w:rPr>
              <w:t>Tidak mengklaim bisa mengatur pertanyaan kubur bagi santri</w:t>
            </w:r>
          </w:p>
        </w:tc>
        <w:tc>
          <w:tcPr>
            <w:tcW w:type="dxa" w:w="1805"/>
          </w:tcPr>
          <w:p>
            <w:r>
              <w:rPr>
                <w:sz w:val="18"/>
              </w:rPr>
              <w:t>Kumparan</w:t>
            </w:r>
          </w:p>
        </w:tc>
        <w:tc>
          <w:tcPr>
            <w:tcW w:type="dxa" w:w="1805"/>
          </w:tcPr>
          <w:p>
            <w:r>
              <w:rPr>
                <w:sz w:val="18"/>
              </w:rPr>
              <w:t>0</w:t>
            </w:r>
          </w:p>
        </w:tc>
      </w:tr>
      <w:tr>
        <w:tc>
          <w:tcPr>
            <w:tcW w:type="dxa" w:w="1805"/>
          </w:tcPr>
          <w:p>
            <w:r>
              <w:rPr>
                <w:sz w:val="18"/>
              </w:rPr>
              <w:t>K05</w:t>
            </w:r>
          </w:p>
        </w:tc>
        <w:tc>
          <w:tcPr>
            <w:tcW w:type="dxa" w:w="1805"/>
          </w:tcPr>
          <w:p>
            <w:r>
              <w:rPr>
                <w:sz w:val="18"/>
              </w:rPr>
              <w:t>Mengaku berbicara dengan malaikat Izrail</w:t>
            </w:r>
          </w:p>
        </w:tc>
        <w:tc>
          <w:tcPr>
            <w:tcW w:type="dxa" w:w="1805"/>
          </w:tcPr>
          <w:p>
            <w:r>
              <w:rPr>
                <w:sz w:val="18"/>
              </w:rPr>
              <w:t>Tidak mengklaim komunikasi langsung dengan malaikat Izrail</w:t>
            </w:r>
          </w:p>
        </w:tc>
        <w:tc>
          <w:tcPr>
            <w:tcW w:type="dxa" w:w="1805"/>
          </w:tcPr>
          <w:p>
            <w:r>
              <w:rPr>
                <w:sz w:val="18"/>
              </w:rPr>
              <w:t>Detik Jatim</w:t>
            </w:r>
          </w:p>
        </w:tc>
        <w:tc>
          <w:tcPr>
            <w:tcW w:type="dxa" w:w="1805"/>
          </w:tcPr>
          <w:p>
            <w:r>
              <w:rPr>
                <w:sz w:val="18"/>
              </w:rPr>
              <w:t>0</w:t>
            </w:r>
          </w:p>
        </w:tc>
      </w:tr>
      <w:tr>
        <w:tc>
          <w:tcPr>
            <w:tcW w:type="dxa" w:w="1805"/>
          </w:tcPr>
          <w:p>
            <w:r>
              <w:rPr>
                <w:sz w:val="18"/>
              </w:rPr>
              <w:t>K06</w:t>
            </w:r>
          </w:p>
        </w:tc>
        <w:tc>
          <w:tcPr>
            <w:tcW w:type="dxa" w:w="1805"/>
          </w:tcPr>
          <w:p>
            <w:r>
              <w:rPr>
                <w:sz w:val="18"/>
              </w:rPr>
              <w:t>Mengaku bisa memanggil malaikat maut, Munkar-Nakir, dan semua malaikat</w:t>
            </w:r>
          </w:p>
        </w:tc>
        <w:tc>
          <w:tcPr>
            <w:tcW w:type="dxa" w:w="1805"/>
          </w:tcPr>
          <w:p>
            <w:r>
              <w:rPr>
                <w:sz w:val="18"/>
              </w:rPr>
              <w:t>Tidak mengklaim bisa memanggil malaikat</w:t>
            </w:r>
          </w:p>
        </w:tc>
        <w:tc>
          <w:tcPr>
            <w:tcW w:type="dxa" w:w="1805"/>
          </w:tcPr>
          <w:p>
            <w:r>
              <w:rPr>
                <w:sz w:val="18"/>
              </w:rPr>
              <w:t>Eramuslim</w:t>
            </w:r>
          </w:p>
        </w:tc>
        <w:tc>
          <w:tcPr>
            <w:tcW w:type="dxa" w:w="1805"/>
          </w:tcPr>
          <w:p>
            <w:r>
              <w:rPr>
                <w:sz w:val="18"/>
              </w:rPr>
              <w:t>0</w:t>
            </w:r>
          </w:p>
        </w:tc>
      </w:tr>
      <w:tr>
        <w:tc>
          <w:tcPr>
            <w:tcW w:type="dxa" w:w="1805"/>
          </w:tcPr>
          <w:p>
            <w:r>
              <w:rPr>
                <w:sz w:val="18"/>
              </w:rPr>
              <w:t>K07</w:t>
            </w:r>
          </w:p>
        </w:tc>
        <w:tc>
          <w:tcPr>
            <w:tcW w:type="dxa" w:w="1805"/>
          </w:tcPr>
          <w:p>
            <w:r>
              <w:rPr>
                <w:sz w:val="18"/>
              </w:rPr>
              <w:t>Mengaku bisa menguji keaslian seseorang dengan malaikat</w:t>
            </w:r>
          </w:p>
        </w:tc>
        <w:tc>
          <w:tcPr>
            <w:tcW w:type="dxa" w:w="1805"/>
          </w:tcPr>
          <w:p>
            <w:r>
              <w:rPr>
                <w:sz w:val="18"/>
              </w:rPr>
              <w:t>Tidak memakai klaim malaikat untuk menguji keaslian seseorang</w:t>
            </w:r>
          </w:p>
        </w:tc>
        <w:tc>
          <w:tcPr>
            <w:tcW w:type="dxa" w:w="1805"/>
          </w:tcPr>
          <w:p>
            <w:r>
              <w:rPr>
                <w:sz w:val="18"/>
              </w:rPr>
              <w:t>Eramuslim</w:t>
            </w:r>
          </w:p>
        </w:tc>
        <w:tc>
          <w:tcPr>
            <w:tcW w:type="dxa" w:w="1805"/>
          </w:tcPr>
          <w:p>
            <w:r>
              <w:rPr>
                <w:sz w:val="18"/>
              </w:rPr>
              <w:t>0</w:t>
            </w:r>
          </w:p>
        </w:tc>
      </w:tr>
      <w:tr>
        <w:tc>
          <w:tcPr>
            <w:tcW w:type="dxa" w:w="1805"/>
          </w:tcPr>
          <w:p>
            <w:r>
              <w:rPr>
                <w:sz w:val="18"/>
              </w:rPr>
              <w:t>K08</w:t>
            </w:r>
          </w:p>
        </w:tc>
        <w:tc>
          <w:tcPr>
            <w:tcW w:type="dxa" w:w="1805"/>
          </w:tcPr>
          <w:p>
            <w:r>
              <w:rPr>
                <w:sz w:val="18"/>
              </w:rPr>
              <w:t>Mengaku bisa berbahasa Suryani</w:t>
            </w:r>
          </w:p>
        </w:tc>
        <w:tc>
          <w:tcPr>
            <w:tcW w:type="dxa" w:w="1805"/>
          </w:tcPr>
          <w:p>
            <w:r>
              <w:rPr>
                <w:sz w:val="18"/>
              </w:rPr>
              <w:t>Tidak menjadikan klaim bahasa Suryani sebagai otoritas ajaran</w:t>
            </w:r>
          </w:p>
        </w:tc>
        <w:tc>
          <w:tcPr>
            <w:tcW w:type="dxa" w:w="1805"/>
          </w:tcPr>
          <w:p>
            <w:r>
              <w:rPr>
                <w:sz w:val="18"/>
              </w:rPr>
              <w:t>Detik/Republika</w:t>
            </w:r>
          </w:p>
        </w:tc>
        <w:tc>
          <w:tcPr>
            <w:tcW w:type="dxa" w:w="1805"/>
          </w:tcPr>
          <w:p>
            <w:r>
              <w:rPr>
                <w:sz w:val="18"/>
              </w:rPr>
              <w:t>0</w:t>
            </w:r>
          </w:p>
        </w:tc>
      </w:tr>
      <w:tr>
        <w:tc>
          <w:tcPr>
            <w:tcW w:type="dxa" w:w="1805"/>
          </w:tcPr>
          <w:p>
            <w:r>
              <w:rPr>
                <w:sz w:val="18"/>
              </w:rPr>
              <w:t>K09</w:t>
            </w:r>
          </w:p>
        </w:tc>
        <w:tc>
          <w:tcPr>
            <w:tcW w:type="dxa" w:w="1805"/>
          </w:tcPr>
          <w:p>
            <w:r>
              <w:rPr>
                <w:sz w:val="18"/>
              </w:rPr>
              <w:t>Mengaku bisa berbahasa semut</w:t>
            </w:r>
          </w:p>
        </w:tc>
        <w:tc>
          <w:tcPr>
            <w:tcW w:type="dxa" w:w="1805"/>
          </w:tcPr>
          <w:p>
            <w:r>
              <w:rPr>
                <w:sz w:val="18"/>
              </w:rPr>
              <w:t>Tidak menjadikan klaim bahasa semut sebagai hujah agama</w:t>
            </w:r>
          </w:p>
        </w:tc>
        <w:tc>
          <w:tcPr>
            <w:tcW w:type="dxa" w:w="1805"/>
          </w:tcPr>
          <w:p>
            <w:r>
              <w:rPr>
                <w:sz w:val="18"/>
              </w:rPr>
              <w:t>Detik Jatim</w:t>
            </w:r>
          </w:p>
        </w:tc>
        <w:tc>
          <w:tcPr>
            <w:tcW w:type="dxa" w:w="1805"/>
          </w:tcPr>
          <w:p>
            <w:r>
              <w:rPr>
                <w:sz w:val="18"/>
              </w:rPr>
              <w:t>0</w:t>
            </w:r>
          </w:p>
        </w:tc>
      </w:tr>
      <w:tr>
        <w:tc>
          <w:tcPr>
            <w:tcW w:type="dxa" w:w="1805"/>
          </w:tcPr>
          <w:p>
            <w:r>
              <w:rPr>
                <w:sz w:val="18"/>
              </w:rPr>
              <w:t>K10</w:t>
            </w:r>
          </w:p>
        </w:tc>
        <w:tc>
          <w:tcPr>
            <w:tcW w:type="dxa" w:w="1805"/>
          </w:tcPr>
          <w:p>
            <w:r>
              <w:rPr>
                <w:sz w:val="18"/>
              </w:rPr>
              <w:t>Mengucapkan kalimat yang diklaim sebagai bahasa semut</w:t>
            </w:r>
          </w:p>
        </w:tc>
        <w:tc>
          <w:tcPr>
            <w:tcW w:type="dxa" w:w="1805"/>
          </w:tcPr>
          <w:p>
            <w:r>
              <w:rPr>
                <w:sz w:val="18"/>
              </w:rPr>
              <w:t>Tidak membuat klaim bahasa semut yang tidak terverifikasi</w:t>
            </w:r>
          </w:p>
        </w:tc>
        <w:tc>
          <w:tcPr>
            <w:tcW w:type="dxa" w:w="1805"/>
          </w:tcPr>
          <w:p>
            <w:r>
              <w:rPr>
                <w:sz w:val="18"/>
              </w:rPr>
              <w:t>Eramuslim</w:t>
            </w:r>
          </w:p>
        </w:tc>
        <w:tc>
          <w:tcPr>
            <w:tcW w:type="dxa" w:w="1805"/>
          </w:tcPr>
          <w:p>
            <w:r>
              <w:rPr>
                <w:sz w:val="18"/>
              </w:rPr>
              <w:t>0</w:t>
            </w:r>
          </w:p>
        </w:tc>
      </w:tr>
      <w:tr>
        <w:tc>
          <w:tcPr>
            <w:tcW w:type="dxa" w:w="1805"/>
          </w:tcPr>
          <w:p>
            <w:r>
              <w:rPr>
                <w:sz w:val="18"/>
              </w:rPr>
              <w:t>K11</w:t>
            </w:r>
          </w:p>
        </w:tc>
        <w:tc>
          <w:tcPr>
            <w:tcW w:type="dxa" w:w="1805"/>
          </w:tcPr>
          <w:p>
            <w:r>
              <w:rPr>
                <w:sz w:val="18"/>
              </w:rPr>
              <w:t>Mengaku bisa berbahasa jin</w:t>
            </w:r>
          </w:p>
        </w:tc>
        <w:tc>
          <w:tcPr>
            <w:tcW w:type="dxa" w:w="1805"/>
          </w:tcPr>
          <w:p>
            <w:r>
              <w:rPr>
                <w:sz w:val="18"/>
              </w:rPr>
              <w:t>Tidak menjadikan klaim bahasa jin sebagai otoritas agama</w:t>
            </w:r>
          </w:p>
        </w:tc>
        <w:tc>
          <w:tcPr>
            <w:tcW w:type="dxa" w:w="1805"/>
          </w:tcPr>
          <w:p>
            <w:r>
              <w:rPr>
                <w:sz w:val="18"/>
              </w:rPr>
              <w:t>Eramuslim</w:t>
            </w:r>
          </w:p>
        </w:tc>
        <w:tc>
          <w:tcPr>
            <w:tcW w:type="dxa" w:w="1805"/>
          </w:tcPr>
          <w:p>
            <w:r>
              <w:rPr>
                <w:sz w:val="18"/>
              </w:rPr>
              <w:t>0</w:t>
            </w:r>
          </w:p>
        </w:tc>
      </w:tr>
      <w:tr>
        <w:tc>
          <w:tcPr>
            <w:tcW w:type="dxa" w:w="1805"/>
          </w:tcPr>
          <w:p>
            <w:r>
              <w:rPr>
                <w:sz w:val="18"/>
              </w:rPr>
              <w:t>K12</w:t>
            </w:r>
          </w:p>
        </w:tc>
        <w:tc>
          <w:tcPr>
            <w:tcW w:type="dxa" w:w="1805"/>
          </w:tcPr>
          <w:p>
            <w:r>
              <w:rPr>
                <w:sz w:val="18"/>
              </w:rPr>
              <w:t>Mengaku bisa berbahasa malaikat</w:t>
            </w:r>
          </w:p>
        </w:tc>
        <w:tc>
          <w:tcPr>
            <w:tcW w:type="dxa" w:w="1805"/>
          </w:tcPr>
          <w:p>
            <w:r>
              <w:rPr>
                <w:sz w:val="18"/>
              </w:rPr>
              <w:t>Tidak menjadikan klaim bahasa malaikat sebagai otoritas agama</w:t>
            </w:r>
          </w:p>
        </w:tc>
        <w:tc>
          <w:tcPr>
            <w:tcW w:type="dxa" w:w="1805"/>
          </w:tcPr>
          <w:p>
            <w:r>
              <w:rPr>
                <w:sz w:val="18"/>
              </w:rPr>
              <w:t>Eramuslim</w:t>
            </w:r>
          </w:p>
        </w:tc>
        <w:tc>
          <w:tcPr>
            <w:tcW w:type="dxa" w:w="1805"/>
          </w:tcPr>
          <w:p>
            <w:r>
              <w:rPr>
                <w:sz w:val="18"/>
              </w:rPr>
              <w:t>0</w:t>
            </w:r>
          </w:p>
        </w:tc>
      </w:tr>
      <w:tr>
        <w:tc>
          <w:tcPr>
            <w:tcW w:type="dxa" w:w="1805"/>
          </w:tcPr>
          <w:p>
            <w:r>
              <w:rPr>
                <w:sz w:val="18"/>
              </w:rPr>
              <w:t>K13</w:t>
            </w:r>
          </w:p>
        </w:tc>
        <w:tc>
          <w:tcPr>
            <w:tcW w:type="dxa" w:w="1805"/>
          </w:tcPr>
          <w:p>
            <w:r>
              <w:rPr>
                <w:sz w:val="18"/>
              </w:rPr>
              <w:t>Mengucapkan istilah syududu</w:t>
            </w:r>
          </w:p>
        </w:tc>
        <w:tc>
          <w:tcPr>
            <w:tcW w:type="dxa" w:w="1805"/>
          </w:tcPr>
          <w:p>
            <w:r>
              <w:rPr>
                <w:sz w:val="18"/>
              </w:rPr>
              <w:t>Tidak menjadikan ucapan asing atau tidak terverifikasi sebagai legitimasi ajaran</w:t>
            </w:r>
          </w:p>
        </w:tc>
        <w:tc>
          <w:tcPr>
            <w:tcW w:type="dxa" w:w="1805"/>
          </w:tcPr>
          <w:p>
            <w:r>
              <w:rPr>
                <w:sz w:val="18"/>
              </w:rPr>
              <w:t>Kumparan</w:t>
            </w:r>
          </w:p>
        </w:tc>
        <w:tc>
          <w:tcPr>
            <w:tcW w:type="dxa" w:w="1805"/>
          </w:tcPr>
          <w:p>
            <w:r>
              <w:rPr>
                <w:sz w:val="18"/>
              </w:rPr>
              <w:t>0</w:t>
            </w:r>
          </w:p>
        </w:tc>
      </w:tr>
      <w:tr>
        <w:tc>
          <w:tcPr>
            <w:tcW w:type="dxa" w:w="1805"/>
          </w:tcPr>
          <w:p>
            <w:r>
              <w:rPr>
                <w:sz w:val="18"/>
              </w:rPr>
              <w:t>K14</w:t>
            </w:r>
          </w:p>
        </w:tc>
        <w:tc>
          <w:tcPr>
            <w:tcW w:type="dxa" w:w="1805"/>
          </w:tcPr>
          <w:p>
            <w:r>
              <w:rPr>
                <w:sz w:val="18"/>
              </w:rPr>
              <w:t>Istilah syududu tidak punya makna linguistik jelas</w:t>
            </w:r>
          </w:p>
        </w:tc>
        <w:tc>
          <w:tcPr>
            <w:tcW w:type="dxa" w:w="1805"/>
          </w:tcPr>
          <w:p>
            <w:r>
              <w:rPr>
                <w:sz w:val="18"/>
              </w:rPr>
              <w:t>Tidak menghubungkan istilah tak bermakna dengan otoritas agama</w:t>
            </w:r>
          </w:p>
        </w:tc>
        <w:tc>
          <w:tcPr>
            <w:tcW w:type="dxa" w:w="1805"/>
          </w:tcPr>
          <w:p>
            <w:r>
              <w:rPr>
                <w:sz w:val="18"/>
              </w:rPr>
              <w:t>Kumparan</w:t>
            </w:r>
          </w:p>
        </w:tc>
        <w:tc>
          <w:tcPr>
            <w:tcW w:type="dxa" w:w="1805"/>
          </w:tcPr>
          <w:p>
            <w:r>
              <w:rPr>
                <w:sz w:val="18"/>
              </w:rPr>
              <w:t>0</w:t>
            </w:r>
          </w:p>
        </w:tc>
      </w:tr>
      <w:tr>
        <w:tc>
          <w:tcPr>
            <w:tcW w:type="dxa" w:w="1805"/>
          </w:tcPr>
          <w:p>
            <w:r>
              <w:rPr>
                <w:sz w:val="18"/>
              </w:rPr>
              <w:t>K15</w:t>
            </w:r>
          </w:p>
        </w:tc>
        <w:tc>
          <w:tcPr>
            <w:tcW w:type="dxa" w:w="1805"/>
          </w:tcPr>
          <w:p>
            <w:r>
              <w:rPr>
                <w:sz w:val="18"/>
              </w:rPr>
              <w:t>Mengaku menjadi penjaga neraka</w:t>
            </w:r>
          </w:p>
        </w:tc>
        <w:tc>
          <w:tcPr>
            <w:tcW w:type="dxa" w:w="1805"/>
          </w:tcPr>
          <w:p>
            <w:r>
              <w:rPr>
                <w:sz w:val="18"/>
              </w:rPr>
              <w:t>Tidak mengklaim jabatan gaib dalam urusan neraka</w:t>
            </w:r>
          </w:p>
        </w:tc>
        <w:tc>
          <w:tcPr>
            <w:tcW w:type="dxa" w:w="1805"/>
          </w:tcPr>
          <w:p>
            <w:r>
              <w:rPr>
                <w:sz w:val="18"/>
              </w:rPr>
              <w:t>Republika/Detik</w:t>
            </w:r>
          </w:p>
        </w:tc>
        <w:tc>
          <w:tcPr>
            <w:tcW w:type="dxa" w:w="1805"/>
          </w:tcPr>
          <w:p>
            <w:r>
              <w:rPr>
                <w:sz w:val="18"/>
              </w:rPr>
              <w:t>0</w:t>
            </w:r>
          </w:p>
        </w:tc>
      </w:tr>
      <w:tr>
        <w:tc>
          <w:tcPr>
            <w:tcW w:type="dxa" w:w="1805"/>
          </w:tcPr>
          <w:p>
            <w:r>
              <w:rPr>
                <w:sz w:val="18"/>
              </w:rPr>
              <w:t>K16</w:t>
            </w:r>
          </w:p>
        </w:tc>
        <w:tc>
          <w:tcPr>
            <w:tcW w:type="dxa" w:w="1805"/>
          </w:tcPr>
          <w:p>
            <w:r>
              <w:rPr>
                <w:sz w:val="18"/>
              </w:rPr>
              <w:t>Mengaku siap menjadi penjaga gawang neraka</w:t>
            </w:r>
          </w:p>
        </w:tc>
        <w:tc>
          <w:tcPr>
            <w:tcW w:type="dxa" w:w="1805"/>
          </w:tcPr>
          <w:p>
            <w:r>
              <w:rPr>
                <w:sz w:val="18"/>
              </w:rPr>
              <w:t>Tidak mengklaim menjadi penjaga gawang neraka</w:t>
            </w:r>
          </w:p>
        </w:tc>
        <w:tc>
          <w:tcPr>
            <w:tcW w:type="dxa" w:w="1805"/>
          </w:tcPr>
          <w:p>
            <w:r>
              <w:rPr>
                <w:sz w:val="18"/>
              </w:rPr>
              <w:t>Eramuslim</w:t>
            </w:r>
          </w:p>
        </w:tc>
        <w:tc>
          <w:tcPr>
            <w:tcW w:type="dxa" w:w="1805"/>
          </w:tcPr>
          <w:p>
            <w:r>
              <w:rPr>
                <w:sz w:val="18"/>
              </w:rPr>
              <w:t>0</w:t>
            </w:r>
          </w:p>
        </w:tc>
      </w:tr>
      <w:tr>
        <w:tc>
          <w:tcPr>
            <w:tcW w:type="dxa" w:w="1805"/>
          </w:tcPr>
          <w:p>
            <w:r>
              <w:rPr>
                <w:sz w:val="18"/>
              </w:rPr>
              <w:t>K17</w:t>
            </w:r>
          </w:p>
        </w:tc>
        <w:tc>
          <w:tcPr>
            <w:tcW w:type="dxa" w:w="1805"/>
          </w:tcPr>
          <w:p>
            <w:r>
              <w:rPr>
                <w:sz w:val="18"/>
              </w:rPr>
              <w:t>Mengaku mengarang 500 kitab bahasa Suryani</w:t>
            </w:r>
          </w:p>
        </w:tc>
        <w:tc>
          <w:tcPr>
            <w:tcW w:type="dxa" w:w="1805"/>
          </w:tcPr>
          <w:p>
            <w:r>
              <w:rPr>
                <w:sz w:val="18"/>
              </w:rPr>
              <w:t>Tidak mengklaim otoritas kitab agama tanpa verifikasi</w:t>
            </w:r>
          </w:p>
        </w:tc>
        <w:tc>
          <w:tcPr>
            <w:tcW w:type="dxa" w:w="1805"/>
          </w:tcPr>
          <w:p>
            <w:r>
              <w:rPr>
                <w:sz w:val="18"/>
              </w:rPr>
              <w:t>Republika</w:t>
            </w:r>
          </w:p>
        </w:tc>
        <w:tc>
          <w:tcPr>
            <w:tcW w:type="dxa" w:w="1805"/>
          </w:tcPr>
          <w:p>
            <w:r>
              <w:rPr>
                <w:sz w:val="18"/>
              </w:rPr>
              <w:t>0</w:t>
            </w:r>
          </w:p>
        </w:tc>
      </w:tr>
      <w:tr>
        <w:tc>
          <w:tcPr>
            <w:tcW w:type="dxa" w:w="1805"/>
          </w:tcPr>
          <w:p>
            <w:r>
              <w:rPr>
                <w:sz w:val="18"/>
              </w:rPr>
              <w:t>K18</w:t>
            </w:r>
          </w:p>
        </w:tc>
        <w:tc>
          <w:tcPr>
            <w:tcW w:type="dxa" w:w="1805"/>
          </w:tcPr>
          <w:p>
            <w:r>
              <w:rPr>
                <w:sz w:val="18"/>
              </w:rPr>
              <w:t>Mengklaim para nabi memakai bahasa Suryani</w:t>
            </w:r>
          </w:p>
        </w:tc>
        <w:tc>
          <w:tcPr>
            <w:tcW w:type="dxa" w:w="1805"/>
          </w:tcPr>
          <w:p>
            <w:r>
              <w:rPr>
                <w:sz w:val="18"/>
              </w:rPr>
              <w:t>Tidak membuat klaim sejarah kenabian tanpa dasar</w:t>
            </w:r>
          </w:p>
        </w:tc>
        <w:tc>
          <w:tcPr>
            <w:tcW w:type="dxa" w:w="1805"/>
          </w:tcPr>
          <w:p>
            <w:r>
              <w:rPr>
                <w:sz w:val="18"/>
              </w:rPr>
              <w:t>Republika</w:t>
            </w:r>
          </w:p>
        </w:tc>
        <w:tc>
          <w:tcPr>
            <w:tcW w:type="dxa" w:w="1805"/>
          </w:tcPr>
          <w:p>
            <w:r>
              <w:rPr>
                <w:sz w:val="18"/>
              </w:rPr>
              <w:t>0</w:t>
            </w:r>
          </w:p>
        </w:tc>
      </w:tr>
      <w:tr>
        <w:tc>
          <w:tcPr>
            <w:tcW w:type="dxa" w:w="1805"/>
          </w:tcPr>
          <w:p>
            <w:r>
              <w:rPr>
                <w:sz w:val="18"/>
              </w:rPr>
              <w:t>K19</w:t>
            </w:r>
          </w:p>
        </w:tc>
        <w:tc>
          <w:tcPr>
            <w:tcW w:type="dxa" w:w="1805"/>
          </w:tcPr>
          <w:p>
            <w:r>
              <w:rPr>
                <w:sz w:val="18"/>
              </w:rPr>
              <w:t>Mengklaim manusia saat mati ditanya dengan bahasa Suryani</w:t>
            </w:r>
          </w:p>
        </w:tc>
        <w:tc>
          <w:tcPr>
            <w:tcW w:type="dxa" w:w="1805"/>
          </w:tcPr>
          <w:p>
            <w:r>
              <w:rPr>
                <w:sz w:val="18"/>
              </w:rPr>
              <w:t>Tidak memastikan detail alam kubur tanpa dalil</w:t>
            </w:r>
          </w:p>
        </w:tc>
        <w:tc>
          <w:tcPr>
            <w:tcW w:type="dxa" w:w="1805"/>
          </w:tcPr>
          <w:p>
            <w:r>
              <w:rPr>
                <w:sz w:val="18"/>
              </w:rPr>
              <w:t>Republika</w:t>
            </w:r>
          </w:p>
        </w:tc>
        <w:tc>
          <w:tcPr>
            <w:tcW w:type="dxa" w:w="1805"/>
          </w:tcPr>
          <w:p>
            <w:r>
              <w:rPr>
                <w:sz w:val="18"/>
              </w:rPr>
              <w:t>0</w:t>
            </w:r>
          </w:p>
        </w:tc>
      </w:tr>
      <w:tr>
        <w:tc>
          <w:tcPr>
            <w:tcW w:type="dxa" w:w="1805"/>
          </w:tcPr>
          <w:p>
            <w:r>
              <w:rPr>
                <w:sz w:val="18"/>
              </w:rPr>
              <w:t>K20</w:t>
            </w:r>
          </w:p>
        </w:tc>
        <w:tc>
          <w:tcPr>
            <w:tcW w:type="dxa" w:w="1805"/>
          </w:tcPr>
          <w:p>
            <w:r>
              <w:rPr>
                <w:sz w:val="18"/>
              </w:rPr>
              <w:t>Mengaku sudah merilis 500 kitab bahasa Suryani</w:t>
            </w:r>
          </w:p>
        </w:tc>
        <w:tc>
          <w:tcPr>
            <w:tcW w:type="dxa" w:w="1805"/>
          </w:tcPr>
          <w:p>
            <w:r>
              <w:rPr>
                <w:sz w:val="18"/>
              </w:rPr>
              <w:t>Tidak mengklaim telah merilis kitab agama besar tanpa verifikasi</w:t>
            </w:r>
          </w:p>
        </w:tc>
        <w:tc>
          <w:tcPr>
            <w:tcW w:type="dxa" w:w="1805"/>
          </w:tcPr>
          <w:p>
            <w:r>
              <w:rPr>
                <w:sz w:val="18"/>
              </w:rPr>
              <w:t>tvOne</w:t>
            </w:r>
          </w:p>
        </w:tc>
        <w:tc>
          <w:tcPr>
            <w:tcW w:type="dxa" w:w="1805"/>
          </w:tcPr>
          <w:p>
            <w:r>
              <w:rPr>
                <w:sz w:val="18"/>
              </w:rPr>
              <w:t>0</w:t>
            </w:r>
          </w:p>
        </w:tc>
      </w:tr>
      <w:tr>
        <w:tc>
          <w:tcPr>
            <w:tcW w:type="dxa" w:w="1805"/>
          </w:tcPr>
          <w:p>
            <w:r>
              <w:rPr>
                <w:sz w:val="18"/>
              </w:rPr>
              <w:t>K21</w:t>
            </w:r>
          </w:p>
        </w:tc>
        <w:tc>
          <w:tcPr>
            <w:tcW w:type="dxa" w:w="1805"/>
          </w:tcPr>
          <w:p>
            <w:r>
              <w:rPr>
                <w:sz w:val="18"/>
              </w:rPr>
              <w:t>Mengaku bisa mengubah air biasa menjadi air zamzam</w:t>
            </w:r>
          </w:p>
        </w:tc>
        <w:tc>
          <w:tcPr>
            <w:tcW w:type="dxa" w:w="1805"/>
          </w:tcPr>
          <w:p>
            <w:r>
              <w:rPr>
                <w:sz w:val="18"/>
              </w:rPr>
              <w:t>Tidak mengklaim bisa mengubah air biasa menjadi air zamzam</w:t>
            </w:r>
          </w:p>
        </w:tc>
        <w:tc>
          <w:tcPr>
            <w:tcW w:type="dxa" w:w="1805"/>
          </w:tcPr>
          <w:p>
            <w:r>
              <w:rPr>
                <w:sz w:val="18"/>
              </w:rPr>
              <w:t>Eramuslim</w:t>
            </w:r>
          </w:p>
        </w:tc>
        <w:tc>
          <w:tcPr>
            <w:tcW w:type="dxa" w:w="1805"/>
          </w:tcPr>
          <w:p>
            <w:r>
              <w:rPr>
                <w:sz w:val="18"/>
              </w:rPr>
              <w:t>0</w:t>
            </w:r>
          </w:p>
        </w:tc>
      </w:tr>
      <w:tr>
        <w:tc>
          <w:tcPr>
            <w:tcW w:type="dxa" w:w="1805"/>
          </w:tcPr>
          <w:p>
            <w:r>
              <w:rPr>
                <w:sz w:val="18"/>
              </w:rPr>
              <w:t>K22</w:t>
            </w:r>
          </w:p>
        </w:tc>
        <w:tc>
          <w:tcPr>
            <w:tcW w:type="dxa" w:w="1805"/>
          </w:tcPr>
          <w:p>
            <w:r>
              <w:rPr>
                <w:sz w:val="18"/>
              </w:rPr>
              <w:t>Mengaitkan keyakinan jemaah dengan klaim air berubah jadi zamzam</w:t>
            </w:r>
          </w:p>
        </w:tc>
        <w:tc>
          <w:tcPr>
            <w:tcW w:type="dxa" w:w="1805"/>
          </w:tcPr>
          <w:p>
            <w:r>
              <w:rPr>
                <w:sz w:val="18"/>
              </w:rPr>
              <w:t>Tidak menjadikan keyakinan agama sebagai pembenar klaim metafisik tak terverifikasi</w:t>
            </w:r>
          </w:p>
        </w:tc>
        <w:tc>
          <w:tcPr>
            <w:tcW w:type="dxa" w:w="1805"/>
          </w:tcPr>
          <w:p>
            <w:r>
              <w:rPr>
                <w:sz w:val="18"/>
              </w:rPr>
              <w:t>Eramuslim</w:t>
            </w:r>
          </w:p>
        </w:tc>
        <w:tc>
          <w:tcPr>
            <w:tcW w:type="dxa" w:w="1805"/>
          </w:tcPr>
          <w:p>
            <w:r>
              <w:rPr>
                <w:sz w:val="18"/>
              </w:rPr>
              <w:t>0</w:t>
            </w:r>
          </w:p>
        </w:tc>
      </w:tr>
      <w:tr>
        <w:tc>
          <w:tcPr>
            <w:tcW w:type="dxa" w:w="1805"/>
          </w:tcPr>
          <w:p>
            <w:r>
              <w:rPr>
                <w:sz w:val="18"/>
              </w:rPr>
              <w:t>K23</w:t>
            </w:r>
          </w:p>
        </w:tc>
        <w:tc>
          <w:tcPr>
            <w:tcW w:type="dxa" w:w="1805"/>
          </w:tcPr>
          <w:p>
            <w:r>
              <w:rPr>
                <w:sz w:val="18"/>
              </w:rPr>
              <w:t>Mengaku bisa mendatangkan Malaikat Jibril</w:t>
            </w:r>
          </w:p>
        </w:tc>
        <w:tc>
          <w:tcPr>
            <w:tcW w:type="dxa" w:w="1805"/>
          </w:tcPr>
          <w:p>
            <w:r>
              <w:rPr>
                <w:sz w:val="18"/>
              </w:rPr>
              <w:t>Tidak mengklaim bisa mendatangkan Malaikat Jibril</w:t>
            </w:r>
          </w:p>
        </w:tc>
        <w:tc>
          <w:tcPr>
            <w:tcW w:type="dxa" w:w="1805"/>
          </w:tcPr>
          <w:p>
            <w:r>
              <w:rPr>
                <w:sz w:val="18"/>
              </w:rPr>
              <w:t>Republika</w:t>
            </w:r>
          </w:p>
        </w:tc>
        <w:tc>
          <w:tcPr>
            <w:tcW w:type="dxa" w:w="1805"/>
          </w:tcPr>
          <w:p>
            <w:r>
              <w:rPr>
                <w:sz w:val="18"/>
              </w:rPr>
              <w:t>0</w:t>
            </w:r>
          </w:p>
        </w:tc>
      </w:tr>
      <w:tr>
        <w:tc>
          <w:tcPr>
            <w:tcW w:type="dxa" w:w="1805"/>
          </w:tcPr>
          <w:p>
            <w:r>
              <w:rPr>
                <w:sz w:val="18"/>
              </w:rPr>
              <w:t>K24</w:t>
            </w:r>
          </w:p>
        </w:tc>
        <w:tc>
          <w:tcPr>
            <w:tcW w:type="dxa" w:w="1805"/>
          </w:tcPr>
          <w:p>
            <w:r>
              <w:rPr>
                <w:sz w:val="18"/>
              </w:rPr>
              <w:t>Mengaku bisa menyuruh menunda kiamat</w:t>
            </w:r>
          </w:p>
        </w:tc>
        <w:tc>
          <w:tcPr>
            <w:tcW w:type="dxa" w:w="1805"/>
          </w:tcPr>
          <w:p>
            <w:r>
              <w:rPr>
                <w:sz w:val="18"/>
              </w:rPr>
              <w:t>Tidak mengklaim bisa memengaruhi waktu kiamat</w:t>
            </w:r>
          </w:p>
        </w:tc>
        <w:tc>
          <w:tcPr>
            <w:tcW w:type="dxa" w:w="1805"/>
          </w:tcPr>
          <w:p>
            <w:r>
              <w:rPr>
                <w:sz w:val="18"/>
              </w:rPr>
              <w:t>Republika</w:t>
            </w:r>
          </w:p>
        </w:tc>
        <w:tc>
          <w:tcPr>
            <w:tcW w:type="dxa" w:w="1805"/>
          </w:tcPr>
          <w:p>
            <w:r>
              <w:rPr>
                <w:sz w:val="18"/>
              </w:rPr>
              <w:t>0</w:t>
            </w:r>
          </w:p>
        </w:tc>
      </w:tr>
      <w:tr>
        <w:tc>
          <w:tcPr>
            <w:tcW w:type="dxa" w:w="1805"/>
          </w:tcPr>
          <w:p>
            <w:r>
              <w:rPr>
                <w:sz w:val="18"/>
              </w:rPr>
              <w:t>K25</w:t>
            </w:r>
          </w:p>
        </w:tc>
        <w:tc>
          <w:tcPr>
            <w:tcW w:type="dxa" w:w="1805"/>
          </w:tcPr>
          <w:p>
            <w:r>
              <w:rPr>
                <w:sz w:val="18"/>
              </w:rPr>
              <w:t>Mengaku mendapat tandangan dari Allah</w:t>
            </w:r>
          </w:p>
        </w:tc>
        <w:tc>
          <w:tcPr>
            <w:tcW w:type="dxa" w:w="1805"/>
          </w:tcPr>
          <w:p>
            <w:r>
              <w:rPr>
                <w:sz w:val="18"/>
              </w:rPr>
              <w:t>Tidak mengklaim pengalaman langsung dari Allah sebagai legitimasi ajaran</w:t>
            </w:r>
          </w:p>
        </w:tc>
        <w:tc>
          <w:tcPr>
            <w:tcW w:type="dxa" w:w="1805"/>
          </w:tcPr>
          <w:p>
            <w:r>
              <w:rPr>
                <w:sz w:val="18"/>
              </w:rPr>
              <w:t>Republika</w:t>
            </w:r>
          </w:p>
        </w:tc>
        <w:tc>
          <w:tcPr>
            <w:tcW w:type="dxa" w:w="1805"/>
          </w:tcPr>
          <w:p>
            <w:r>
              <w:rPr>
                <w:sz w:val="18"/>
              </w:rPr>
              <w:t>0</w:t>
            </w:r>
          </w:p>
        </w:tc>
      </w:tr>
      <w:tr>
        <w:tc>
          <w:tcPr>
            <w:tcW w:type="dxa" w:w="1805"/>
          </w:tcPr>
          <w:p>
            <w:r>
              <w:rPr>
                <w:sz w:val="18"/>
              </w:rPr>
              <w:t>K26</w:t>
            </w:r>
          </w:p>
        </w:tc>
        <w:tc>
          <w:tcPr>
            <w:tcW w:type="dxa" w:w="1805"/>
          </w:tcPr>
          <w:p>
            <w:r>
              <w:rPr>
                <w:sz w:val="18"/>
              </w:rPr>
              <w:t>Mengaku belajar langsung kepada Allah selama 40 tahun</w:t>
            </w:r>
          </w:p>
        </w:tc>
        <w:tc>
          <w:tcPr>
            <w:tcW w:type="dxa" w:w="1805"/>
          </w:tcPr>
          <w:p>
            <w:r>
              <w:rPr>
                <w:sz w:val="18"/>
              </w:rPr>
              <w:t>Tidak mengklaim belajar agama langsung dari Allah sebagai otoritas pribadi</w:t>
            </w:r>
          </w:p>
        </w:tc>
        <w:tc>
          <w:tcPr>
            <w:tcW w:type="dxa" w:w="1805"/>
          </w:tcPr>
          <w:p>
            <w:r>
              <w:rPr>
                <w:sz w:val="18"/>
              </w:rPr>
              <w:t>Republika</w:t>
            </w:r>
          </w:p>
        </w:tc>
        <w:tc>
          <w:tcPr>
            <w:tcW w:type="dxa" w:w="1805"/>
          </w:tcPr>
          <w:p>
            <w:r>
              <w:rPr>
                <w:sz w:val="18"/>
              </w:rPr>
              <w:t>0</w:t>
            </w:r>
          </w:p>
        </w:tc>
      </w:tr>
      <w:tr>
        <w:tc>
          <w:tcPr>
            <w:tcW w:type="dxa" w:w="1805"/>
          </w:tcPr>
          <w:p>
            <w:r>
              <w:rPr>
                <w:sz w:val="18"/>
              </w:rPr>
              <w:t>K27</w:t>
            </w:r>
          </w:p>
        </w:tc>
        <w:tc>
          <w:tcPr>
            <w:tcW w:type="dxa" w:w="1805"/>
          </w:tcPr>
          <w:p>
            <w:r>
              <w:rPr>
                <w:sz w:val="18"/>
              </w:rPr>
              <w:t>Mengaku mewakili Nabi Sulaiman untuk berbicara dengan semut</w:t>
            </w:r>
          </w:p>
        </w:tc>
        <w:tc>
          <w:tcPr>
            <w:tcW w:type="dxa" w:w="1805"/>
          </w:tcPr>
          <w:p>
            <w:r>
              <w:rPr>
                <w:sz w:val="18"/>
              </w:rPr>
              <w:t>Tidak mengklaim mewakili mukjizat Nabi Sulaiman</w:t>
            </w:r>
          </w:p>
        </w:tc>
        <w:tc>
          <w:tcPr>
            <w:tcW w:type="dxa" w:w="1805"/>
          </w:tcPr>
          <w:p>
            <w:r>
              <w:rPr>
                <w:sz w:val="18"/>
              </w:rPr>
              <w:t>Republika</w:t>
            </w:r>
          </w:p>
        </w:tc>
        <w:tc>
          <w:tcPr>
            <w:tcW w:type="dxa" w:w="1805"/>
          </w:tcPr>
          <w:p>
            <w:r>
              <w:rPr>
                <w:sz w:val="18"/>
              </w:rPr>
              <w:t>0</w:t>
            </w:r>
          </w:p>
        </w:tc>
      </w:tr>
      <w:tr>
        <w:tc>
          <w:tcPr>
            <w:tcW w:type="dxa" w:w="1805"/>
          </w:tcPr>
          <w:p>
            <w:r>
              <w:rPr>
                <w:sz w:val="18"/>
              </w:rPr>
              <w:t>K28</w:t>
            </w:r>
          </w:p>
        </w:tc>
        <w:tc>
          <w:tcPr>
            <w:tcW w:type="dxa" w:w="1805"/>
          </w:tcPr>
          <w:p>
            <w:r>
              <w:rPr>
                <w:sz w:val="18"/>
              </w:rPr>
              <w:t>Mengaku bisa telepon Gusti Allah</w:t>
            </w:r>
          </w:p>
        </w:tc>
        <w:tc>
          <w:tcPr>
            <w:tcW w:type="dxa" w:w="1805"/>
          </w:tcPr>
          <w:p>
            <w:r>
              <w:rPr>
                <w:sz w:val="18"/>
              </w:rPr>
              <w:t>Tidak mengklaim komunikasi langsung dengan Allah sebagai otoritas ajaran</w:t>
            </w:r>
          </w:p>
        </w:tc>
        <w:tc>
          <w:tcPr>
            <w:tcW w:type="dxa" w:w="1805"/>
          </w:tcPr>
          <w:p>
            <w:r>
              <w:rPr>
                <w:sz w:val="18"/>
              </w:rPr>
              <w:t>Detik/PBNU</w:t>
            </w:r>
          </w:p>
        </w:tc>
        <w:tc>
          <w:tcPr>
            <w:tcW w:type="dxa" w:w="1805"/>
          </w:tcPr>
          <w:p>
            <w:r>
              <w:rPr>
                <w:sz w:val="18"/>
              </w:rPr>
              <w:t>0</w:t>
            </w:r>
          </w:p>
        </w:tc>
      </w:tr>
      <w:tr>
        <w:tc>
          <w:tcPr>
            <w:tcW w:type="dxa" w:w="1805"/>
          </w:tcPr>
          <w:p>
            <w:r>
              <w:rPr>
                <w:sz w:val="18"/>
              </w:rPr>
              <w:t>K29</w:t>
            </w:r>
          </w:p>
        </w:tc>
        <w:tc>
          <w:tcPr>
            <w:tcW w:type="dxa" w:w="1805"/>
          </w:tcPr>
          <w:p>
            <w:r>
              <w:rPr>
                <w:sz w:val="18"/>
              </w:rPr>
              <w:t>Mengaku bisa telepon Malaikat Jibril</w:t>
            </w:r>
          </w:p>
        </w:tc>
        <w:tc>
          <w:tcPr>
            <w:tcW w:type="dxa" w:w="1805"/>
          </w:tcPr>
          <w:p>
            <w:r>
              <w:rPr>
                <w:sz w:val="18"/>
              </w:rPr>
              <w:t>Tidak mengklaim komunikasi langsung dengan Jibril sebagai otoritas ajaran</w:t>
            </w:r>
          </w:p>
        </w:tc>
        <w:tc>
          <w:tcPr>
            <w:tcW w:type="dxa" w:w="1805"/>
          </w:tcPr>
          <w:p>
            <w:r>
              <w:rPr>
                <w:sz w:val="18"/>
              </w:rPr>
              <w:t>Detik/PBNU</w:t>
            </w:r>
          </w:p>
        </w:tc>
        <w:tc>
          <w:tcPr>
            <w:tcW w:type="dxa" w:w="1805"/>
          </w:tcPr>
          <w:p>
            <w:r>
              <w:rPr>
                <w:sz w:val="18"/>
              </w:rPr>
              <w:t>0</w:t>
            </w:r>
          </w:p>
        </w:tc>
      </w:tr>
      <w:tr>
        <w:tc>
          <w:tcPr>
            <w:tcW w:type="dxa" w:w="1805"/>
          </w:tcPr>
          <w:p>
            <w:r>
              <w:rPr>
                <w:sz w:val="18"/>
              </w:rPr>
              <w:t>K30</w:t>
            </w:r>
          </w:p>
        </w:tc>
        <w:tc>
          <w:tcPr>
            <w:tcW w:type="dxa" w:w="1805"/>
          </w:tcPr>
          <w:p>
            <w:r>
              <w:rPr>
                <w:sz w:val="18"/>
              </w:rPr>
              <w:t>Menafsirkan ayat Al-Qurʼān tanpa kaidah tafsir</w:t>
            </w:r>
          </w:p>
        </w:tc>
        <w:tc>
          <w:tcPr>
            <w:tcW w:type="dxa" w:w="1805"/>
          </w:tcPr>
          <w:p>
            <w:r>
              <w:rPr>
                <w:sz w:val="18"/>
              </w:rPr>
              <w:t>Tidak menafsirkan Al-Qurʼān tanpa kaidah tafsir</w:t>
            </w:r>
          </w:p>
        </w:tc>
        <w:tc>
          <w:tcPr>
            <w:tcW w:type="dxa" w:w="1805"/>
          </w:tcPr>
          <w:p>
            <w:r>
              <w:rPr>
                <w:sz w:val="18"/>
              </w:rPr>
              <w:t>Detik/MUI Malang</w:t>
            </w:r>
          </w:p>
        </w:tc>
        <w:tc>
          <w:tcPr>
            <w:tcW w:type="dxa" w:w="1805"/>
          </w:tcPr>
          <w:p>
            <w:r>
              <w:rPr>
                <w:sz w:val="18"/>
              </w:rPr>
              <w:t>0</w:t>
            </w:r>
          </w:p>
        </w:tc>
      </w:tr>
      <w:tr>
        <w:tc>
          <w:tcPr>
            <w:tcW w:type="dxa" w:w="1805"/>
          </w:tcPr>
          <w:p>
            <w:r>
              <w:rPr>
                <w:sz w:val="18"/>
              </w:rPr>
              <w:t>K31</w:t>
            </w:r>
          </w:p>
        </w:tc>
        <w:tc>
          <w:tcPr>
            <w:tcW w:type="dxa" w:w="1805"/>
          </w:tcPr>
          <w:p>
            <w:r>
              <w:rPr>
                <w:sz w:val="18"/>
              </w:rPr>
              <w:t>Diberitakan mengeluarkan hadits baru memakai bahasa sendiri</w:t>
            </w:r>
          </w:p>
        </w:tc>
        <w:tc>
          <w:tcPr>
            <w:tcW w:type="dxa" w:w="1805"/>
          </w:tcPr>
          <w:p>
            <w:r>
              <w:rPr>
                <w:sz w:val="18"/>
              </w:rPr>
              <w:t>Tidak membuat atau menisbatkan hadis baru tanpa sanad dan verifikasi</w:t>
            </w:r>
          </w:p>
        </w:tc>
        <w:tc>
          <w:tcPr>
            <w:tcW w:type="dxa" w:w="1805"/>
          </w:tcPr>
          <w:p>
            <w:r>
              <w:rPr>
                <w:sz w:val="18"/>
              </w:rPr>
              <w:t>Tanya Islam Yuk</w:t>
            </w:r>
          </w:p>
        </w:tc>
        <w:tc>
          <w:tcPr>
            <w:tcW w:type="dxa" w:w="1805"/>
          </w:tcPr>
          <w:p>
            <w:r>
              <w:rPr>
                <w:sz w:val="18"/>
              </w:rPr>
              <w:t>0</w:t>
            </w:r>
          </w:p>
        </w:tc>
      </w:tr>
      <w:tr>
        <w:tc>
          <w:tcPr>
            <w:tcW w:type="dxa" w:w="1805"/>
          </w:tcPr>
          <w:p>
            <w:r>
              <w:rPr>
                <w:sz w:val="18"/>
              </w:rPr>
              <w:t>K32</w:t>
            </w:r>
          </w:p>
        </w:tc>
        <w:tc>
          <w:tcPr>
            <w:tcW w:type="dxa" w:w="1805"/>
          </w:tcPr>
          <w:p>
            <w:r>
              <w:rPr>
                <w:sz w:val="18"/>
              </w:rPr>
              <w:t>Klaim hadits baru disebut memakai bahasa yang tidak dikenal</w:t>
            </w:r>
          </w:p>
        </w:tc>
        <w:tc>
          <w:tcPr>
            <w:tcW w:type="dxa" w:w="1805"/>
          </w:tcPr>
          <w:p>
            <w:r>
              <w:rPr>
                <w:sz w:val="18"/>
              </w:rPr>
              <w:t>Tidak menyebut ucapan tidak terverifikasi sebagai hadis</w:t>
            </w:r>
          </w:p>
        </w:tc>
        <w:tc>
          <w:tcPr>
            <w:tcW w:type="dxa" w:w="1805"/>
          </w:tcPr>
          <w:p>
            <w:r>
              <w:rPr>
                <w:sz w:val="18"/>
              </w:rPr>
              <w:t>Tanya Islam Yuk</w:t>
            </w:r>
          </w:p>
        </w:tc>
        <w:tc>
          <w:tcPr>
            <w:tcW w:type="dxa" w:w="1805"/>
          </w:tcPr>
          <w:p>
            <w:r>
              <w:rPr>
                <w:sz w:val="18"/>
              </w:rPr>
              <w:t>0</w:t>
            </w:r>
          </w:p>
        </w:tc>
      </w:tr>
      <w:tr>
        <w:tc>
          <w:tcPr>
            <w:tcW w:type="dxa" w:w="1805"/>
          </w:tcPr>
          <w:p>
            <w:r>
              <w:rPr>
                <w:sz w:val="18"/>
              </w:rPr>
              <w:t>K33</w:t>
            </w:r>
          </w:p>
        </w:tc>
        <w:tc>
          <w:tcPr>
            <w:tcW w:type="dxa" w:w="1805"/>
          </w:tcPr>
          <w:p>
            <w:r>
              <w:rPr>
                <w:sz w:val="18"/>
              </w:rPr>
              <w:t>Mengucapkan syududu sebagai lafal viral yang dikaitkan dengan ceramahnya</w:t>
            </w:r>
          </w:p>
        </w:tc>
        <w:tc>
          <w:tcPr>
            <w:tcW w:type="dxa" w:w="1805"/>
          </w:tcPr>
          <w:p>
            <w:r>
              <w:rPr>
                <w:sz w:val="18"/>
              </w:rPr>
              <w:t>Tidak memakai lafal asing tidak bermakna sebagai legitimasi agama</w:t>
            </w:r>
          </w:p>
        </w:tc>
        <w:tc>
          <w:tcPr>
            <w:tcW w:type="dxa" w:w="1805"/>
          </w:tcPr>
          <w:p>
            <w:r>
              <w:rPr>
                <w:sz w:val="18"/>
              </w:rPr>
              <w:t>Kumparan</w:t>
            </w:r>
          </w:p>
        </w:tc>
        <w:tc>
          <w:tcPr>
            <w:tcW w:type="dxa" w:w="1805"/>
          </w:tcPr>
          <w:p>
            <w:r>
              <w:rPr>
                <w:sz w:val="18"/>
              </w:rPr>
              <w:t>0</w:t>
            </w:r>
          </w:p>
        </w:tc>
      </w:tr>
      <w:tr>
        <w:tc>
          <w:tcPr>
            <w:tcW w:type="dxa" w:w="1805"/>
          </w:tcPr>
          <w:p>
            <w:r>
              <w:rPr>
                <w:sz w:val="18"/>
              </w:rPr>
              <w:t>K34</w:t>
            </w:r>
          </w:p>
        </w:tc>
        <w:tc>
          <w:tcPr>
            <w:tcW w:type="dxa" w:w="1805"/>
          </w:tcPr>
          <w:p>
            <w:r>
              <w:rPr>
                <w:sz w:val="18"/>
              </w:rPr>
              <w:t>Istilah Syududu dan Maqoli muncul dari potongan ceramah viral</w:t>
            </w:r>
          </w:p>
        </w:tc>
        <w:tc>
          <w:tcPr>
            <w:tcW w:type="dxa" w:w="1805"/>
          </w:tcPr>
          <w:p>
            <w:r>
              <w:rPr>
                <w:sz w:val="18"/>
              </w:rPr>
              <w:t>Tidak menjadikan lafal viral tidak jelas sebagai otoritas ajaran</w:t>
            </w:r>
          </w:p>
        </w:tc>
        <w:tc>
          <w:tcPr>
            <w:tcW w:type="dxa" w:w="1805"/>
          </w:tcPr>
          <w:p>
            <w:r>
              <w:rPr>
                <w:sz w:val="18"/>
              </w:rPr>
              <w:t>KabarJawa</w:t>
            </w:r>
          </w:p>
        </w:tc>
        <w:tc>
          <w:tcPr>
            <w:tcW w:type="dxa" w:w="1805"/>
          </w:tcPr>
          <w:p>
            <w:r>
              <w:rPr>
                <w:sz w:val="18"/>
              </w:rPr>
              <w:t>0</w:t>
            </w:r>
          </w:p>
        </w:tc>
      </w:tr>
      <w:tr>
        <w:tc>
          <w:tcPr>
            <w:tcW w:type="dxa" w:w="1805"/>
          </w:tcPr>
          <w:p>
            <w:r>
              <w:rPr>
                <w:sz w:val="18"/>
              </w:rPr>
              <w:t>K35</w:t>
            </w:r>
          </w:p>
        </w:tc>
        <w:tc>
          <w:tcPr>
            <w:tcW w:type="dxa" w:w="1805"/>
          </w:tcPr>
          <w:p>
            <w:r>
              <w:rPr>
                <w:sz w:val="18"/>
              </w:rPr>
              <w:t>Mengucapkan Maqoli saat membela klaim 500 kitab bahasa Suryani</w:t>
            </w:r>
          </w:p>
        </w:tc>
        <w:tc>
          <w:tcPr>
            <w:tcW w:type="dxa" w:w="1805"/>
          </w:tcPr>
          <w:p>
            <w:r>
              <w:rPr>
                <w:sz w:val="18"/>
              </w:rPr>
              <w:t>Tidak memakai istilah tidak terverifikasi untuk membela klaim kitab agama</w:t>
            </w:r>
          </w:p>
        </w:tc>
        <w:tc>
          <w:tcPr>
            <w:tcW w:type="dxa" w:w="1805"/>
          </w:tcPr>
          <w:p>
            <w:r>
              <w:rPr>
                <w:sz w:val="18"/>
              </w:rPr>
              <w:t>tvOne</w:t>
            </w:r>
          </w:p>
        </w:tc>
        <w:tc>
          <w:tcPr>
            <w:tcW w:type="dxa" w:w="1805"/>
          </w:tcPr>
          <w:p>
            <w:r>
              <w:rPr>
                <w:sz w:val="18"/>
              </w:rPr>
              <w:t>0</w:t>
            </w:r>
          </w:p>
        </w:tc>
      </w:tr>
      <w:tr>
        <w:tc>
          <w:tcPr>
            <w:tcW w:type="dxa" w:w="1805"/>
          </w:tcPr>
          <w:p>
            <w:r>
              <w:rPr>
                <w:sz w:val="18"/>
              </w:rPr>
              <w:t>K36</w:t>
            </w:r>
          </w:p>
        </w:tc>
        <w:tc>
          <w:tcPr>
            <w:tcW w:type="dxa" w:w="1805"/>
          </w:tcPr>
          <w:p>
            <w:r>
              <w:rPr>
                <w:sz w:val="18"/>
              </w:rPr>
              <w:t>Mengucapkan bahasa Arab oplosan saat ditantang menunjukkan 500 kitab</w:t>
            </w:r>
          </w:p>
        </w:tc>
        <w:tc>
          <w:tcPr>
            <w:tcW w:type="dxa" w:w="1805"/>
          </w:tcPr>
          <w:p>
            <w:r>
              <w:rPr>
                <w:sz w:val="18"/>
              </w:rPr>
              <w:t>Tidak mengganti verifikasi ilmiah dengan ucapan asing yang tidak jelas</w:t>
            </w:r>
          </w:p>
        </w:tc>
        <w:tc>
          <w:tcPr>
            <w:tcW w:type="dxa" w:w="1805"/>
          </w:tcPr>
          <w:p>
            <w:r>
              <w:rPr>
                <w:sz w:val="18"/>
              </w:rPr>
              <w:t>tvOne</w:t>
            </w:r>
          </w:p>
        </w:tc>
        <w:tc>
          <w:tcPr>
            <w:tcW w:type="dxa" w:w="1805"/>
          </w:tcPr>
          <w:p>
            <w:r>
              <w:rPr>
                <w:sz w:val="18"/>
              </w:rPr>
              <w:t>0</w:t>
            </w:r>
          </w:p>
        </w:tc>
      </w:tr>
      <w:tr>
        <w:tc>
          <w:tcPr>
            <w:tcW w:type="dxa" w:w="1805"/>
          </w:tcPr>
          <w:p>
            <w:r>
              <w:rPr>
                <w:sz w:val="18"/>
              </w:rPr>
              <w:t>K37</w:t>
            </w:r>
          </w:p>
        </w:tc>
        <w:tc>
          <w:tcPr>
            <w:tcW w:type="dxa" w:w="1805"/>
          </w:tcPr>
          <w:p>
            <w:r>
              <w:rPr>
                <w:sz w:val="18"/>
              </w:rPr>
              <w:t>Dikritik karena cerita dan ajarannya disebut karangan sendiri</w:t>
            </w:r>
          </w:p>
        </w:tc>
        <w:tc>
          <w:tcPr>
            <w:tcW w:type="dxa" w:w="1805"/>
          </w:tcPr>
          <w:p>
            <w:r>
              <w:rPr>
                <w:sz w:val="18"/>
              </w:rPr>
              <w:t>Tidak membangun ajaran dari karangan personal yang tidak terverifikasi</w:t>
            </w:r>
          </w:p>
        </w:tc>
        <w:tc>
          <w:tcPr>
            <w:tcW w:type="dxa" w:w="1805"/>
          </w:tcPr>
          <w:p>
            <w:r>
              <w:rPr>
                <w:sz w:val="18"/>
              </w:rPr>
              <w:t>Tanya Islam Yuk</w:t>
            </w:r>
          </w:p>
        </w:tc>
        <w:tc>
          <w:tcPr>
            <w:tcW w:type="dxa" w:w="1805"/>
          </w:tcPr>
          <w:p>
            <w:r>
              <w:rPr>
                <w:sz w:val="18"/>
              </w:rPr>
              <w:t>0</w:t>
            </w:r>
          </w:p>
        </w:tc>
      </w:tr>
    </w:tbl>
    <w:p/>
    <w:p>
      <w:pPr>
        <w:spacing w:before="240" w:after="120"/>
        <w:lnSpc>
          <w:lnSpcVal w:line="360" w:lineRule="auto"/>
        </w:lnSpc>
      </w:pPr>
      <w:r>
        <w:rPr>
          <w:rFonts w:ascii="Times New Roman" w:hAnsi="Times New Roman"/>
          <w:b/>
          <w:sz w:val="24"/>
        </w:rPr>
        <w:t>E.</w:t>
        <w:tab/>
        <w:t>Binary Representations and Their Justifications</w:t>
      </w:r>
    </w:p>
    <w:p>
      <w:pPr>
        <w:spacing w:before="0" w:after="120"/>
        <w:jc w:val="both"/>
        <w:lnSpc>
          <w:lnSpcVal w:line="360" w:lineRule="auto"/>
        </w:lnSpc>
      </w:pPr>
      <w:r>
        <w:rPr>
          <w:rFonts w:ascii="Times New Roman" w:hAnsi="Times New Roman"/>
          <w:b w:val="0"/>
          <w:i w:val="0"/>
          <w:sz w:val="24"/>
        </w:rPr>
        <w:t>The use of binary values 0 and 1 is a conscious simplification. It abstracts the nuances, contexts, and gradations that exist in each claim. The justifications for its use are pragmatic and epistemological: pragmatic because it allows for reproducible cosine similarity calculations, and epistemological because it forces dataset creators to make explicit decisions about each variable rather than leaving them ambiguous. In this sense, binary limitation is precisely a methodological strength: any ambiguity must be resolved explicitly and arguably.</w:t>
      </w:r>
    </w:p>
    <w:p>
      <w:pPr>
        <w:spacing w:before="240" w:after="120"/>
        <w:lnSpc>
          <w:lnSpcVal w:line="360" w:lineRule="auto"/>
        </w:lnSpc>
      </w:pPr>
      <w:r>
        <w:rPr>
          <w:rFonts w:ascii="Times New Roman" w:hAnsi="Times New Roman"/>
          <w:b/>
          <w:sz w:val="24"/>
        </w:rPr>
        <w:t>F.</w:t>
        <w:tab/>
        <w:t>Mathematical Foundations: Why Cosine Similarity</w:t>
      </w:r>
    </w:p>
    <w:p>
      <w:pPr>
        <w:spacing w:before="0" w:after="120"/>
        <w:jc w:val="both"/>
        <w:lnSpc>
          <w:lnSpcVal w:line="360" w:lineRule="auto"/>
        </w:lnSpc>
      </w:pPr>
      <w:r>
        <w:rPr>
          <w:rFonts w:ascii="Times New Roman" w:hAnsi="Times New Roman"/>
          <w:b w:val="0"/>
          <w:i w:val="0"/>
          <w:sz w:val="24"/>
        </w:rPr>
        <w:t>Cosine similarity measures the similarity between two vectors by calculating the cosine of the angle between them. For two vectors a and b in n-dimensional space, the formula is:</w:t>
      </w:r>
    </w:p>
    <w:p>
      <w:pPr>
        <w:spacing w:before="80" w:after="80"/>
        <w:jc w:val="center"/>
        <w:lnSpc>
          <w:lnSpcVal w:line="360" w:lineRule="auto"/>
        </w:lnSpc>
      </w:pPr>
      <w:r>
        <w:rPr>
          <w:rFonts w:ascii="Courier New" w:hAnsi="Courier New"/>
          <w:sz w:val="24"/>
        </w:rPr>
        <w:t>cos(θ) = (Σᵢ aᵢbᵢ) / (√(Σᵢ aᵢ²) · √(Σᵢ bᵢ²))</w:t>
      </w:r>
    </w:p>
    <w:p>
      <w:pPr>
        <w:spacing w:before="0" w:after="120"/>
        <w:jc w:val="both"/>
        <w:lnSpc>
          <w:lnSpcVal w:line="360" w:lineRule="auto"/>
        </w:lnSpc>
      </w:pPr>
      <w:r>
        <w:rPr>
          <w:rFonts w:ascii="Times New Roman" w:hAnsi="Times New Roman"/>
          <w:b w:val="0"/>
          <w:i w:val="0"/>
          <w:sz w:val="24"/>
        </w:rPr>
        <w:t>where a·b is the dot product of the two vectors, and ‖a‖ and ‖b‖ are their Euclidean norms.</w:t>
      </w:r>
    </w:p>
    <w:p>
      <w:pPr>
        <w:spacing w:before="0" w:after="120"/>
        <w:ind w:firstLine="425"/>
        <w:jc w:val="both"/>
        <w:lnSpc>
          <w:lnSpcVal w:line="360" w:lineRule="auto"/>
        </w:lnSpc>
      </w:pPr>
      <w:r>
        <w:rPr>
          <w:rFonts w:ascii="Times New Roman" w:hAnsi="Times New Roman"/>
          <w:b w:val="0"/>
          <w:i w:val="0"/>
          <w:sz w:val="24"/>
        </w:rPr>
        <w:t>For binary data, the dot product produces a positive value only when both corresponding elements are valued at 1. When either or both are 0, the contribution to the dot product is zero. This means that cosine similarity does not count zero-zero matches as evidence of similarity—a property that is crucial for this context. Two subjects who both lack a belief should not be considered more alike simply because of that absence. This property distinguishes cosine similarity from simple distance metrics such as the simple matching coefficient, which treats a null-value match equal to a one-value match (Manning, Raghavan, and Schütze, 2008).</w:t>
      </w:r>
    </w:p>
    <w:p>
      <w:pPr>
        <w:spacing w:before="240" w:after="120"/>
        <w:lnSpc>
          <w:lnSpcVal w:line="360" w:lineRule="auto"/>
        </w:lnSpc>
      </w:pPr>
      <w:r>
        <w:rPr>
          <w:rFonts w:ascii="Times New Roman" w:hAnsi="Times New Roman"/>
          <w:b/>
          <w:sz w:val="24"/>
        </w:rPr>
        <w:t>G.</w:t>
        <w:tab/>
        <w:t>Calculations for Mama Ghufron’s Case</w:t>
      </w:r>
    </w:p>
    <w:p>
      <w:pPr>
        <w:spacing w:before="0" w:after="120"/>
        <w:jc w:val="both"/>
        <w:lnSpc>
          <w:lnSpcVal w:line="360" w:lineRule="auto"/>
        </w:lnSpc>
      </w:pPr>
      <w:r>
        <w:rPr>
          <w:rFonts w:ascii="Times New Roman" w:hAnsi="Times New Roman"/>
          <w:b w:val="0"/>
          <w:i w:val="0"/>
          <w:sz w:val="24"/>
        </w:rPr>
        <w:t>With the dataset of 57 variables constructed across Table 1 and Table 2, the calculation proceeds as follows.</w:t>
      </w:r>
    </w:p>
    <w:p>
      <w:pPr>
        <w:spacing w:before="0" w:after="120"/>
        <w:ind w:firstLine="425"/>
        <w:jc w:val="both"/>
        <w:lnSpc>
          <w:lnSpcVal w:line="360" w:lineRule="auto"/>
        </w:lnSpc>
      </w:pPr>
      <w:r>
        <w:rPr>
          <w:rFonts w:ascii="Times New Roman" w:hAnsi="Times New Roman"/>
          <w:b w:val="0"/>
          <w:i w:val="0"/>
          <w:sz w:val="24"/>
        </w:rPr>
        <w:t>Dot product (a·b): The dot product produces a positive value only where both vectors are valued at 1. This occurs exclusively on the 20 common foundation variables. In the 37 controversial claim variables, vector a is valued at 1 but vector b is valued at 0, so the contribution is zero. Thus: a·b = 20.</w:t>
      </w:r>
    </w:p>
    <w:p>
      <w:pPr>
        <w:spacing w:before="0" w:after="120"/>
        <w:ind w:firstLine="425"/>
        <w:jc w:val="both"/>
        <w:lnSpc>
          <w:lnSpcVal w:line="360" w:lineRule="auto"/>
        </w:lnSpc>
      </w:pPr>
      <w:r>
        <w:rPr>
          <w:rFonts w:ascii="Times New Roman" w:hAnsi="Times New Roman"/>
          <w:b w:val="0"/>
          <w:i w:val="0"/>
          <w:sz w:val="24"/>
        </w:rPr>
        <w:t>Vector norm ‖a‖: Vector a (MUI–PBNU Institutional Position) is valued at 1 on all 57 variables: ‖a‖ = √57 ≈ 7.5498.</w:t>
      </w:r>
    </w:p>
    <w:p>
      <w:pPr>
        <w:spacing w:before="0" w:after="120"/>
        <w:ind w:firstLine="425"/>
        <w:jc w:val="both"/>
        <w:lnSpc>
          <w:lnSpcVal w:line="360" w:lineRule="auto"/>
        </w:lnSpc>
      </w:pPr>
      <w:r>
        <w:rPr>
          <w:rFonts w:ascii="Times New Roman" w:hAnsi="Times New Roman"/>
          <w:b w:val="0"/>
          <w:i w:val="0"/>
          <w:sz w:val="24"/>
        </w:rPr>
        <w:t>Vector norm ‖b‖: Vector b (subject’s claim profile) is valued at 1 on only the 20 foundation variables: ‖b‖ = √20 ≈ 4.4721.</w:t>
      </w:r>
    </w:p>
    <w:p>
      <w:pPr>
        <w:spacing w:before="80" w:after="80"/>
        <w:jc w:val="center"/>
        <w:lnSpc>
          <w:lnSpcVal w:line="360" w:lineRule="auto"/>
        </w:lnSpc>
      </w:pPr>
      <w:r>
        <w:rPr>
          <w:rFonts w:ascii="Courier New" w:hAnsi="Courier New"/>
          <w:sz w:val="24"/>
        </w:rPr>
        <w:t>cos(θ) = 20 / (7.5498 × 4.4721) = 20 / 33.7639 ≈ 0.5923</w:t>
      </w:r>
    </w:p>
    <w:p>
      <w:pPr>
        <w:spacing w:before="80" w:after="80"/>
        <w:jc w:val="center"/>
        <w:lnSpc>
          <w:lnSpcVal w:line="360" w:lineRule="auto"/>
        </w:lnSpc>
      </w:pPr>
      <w:r>
        <w:rPr>
          <w:rFonts w:ascii="Courier New" w:hAnsi="Courier New"/>
          <w:sz w:val="24"/>
        </w:rPr>
        <w:t>θ = arccos(0.5923) ≈ 53.66°</w:t>
      </w:r>
    </w:p>
    <w:p>
      <w:pPr>
        <w:spacing w:before="0" w:after="120"/>
        <w:ind w:firstLine="425"/>
        <w:jc w:val="both"/>
        <w:lnSpc>
          <w:lnSpcVal w:line="360" w:lineRule="auto"/>
        </w:lnSpc>
      </w:pPr>
      <w:r>
        <w:rPr>
          <w:rFonts w:ascii="Times New Roman" w:hAnsi="Times New Roman"/>
          <w:b w:val="0"/>
          <w:i w:val="0"/>
          <w:sz w:val="24"/>
        </w:rPr>
        <w:t>This result places the subject’s claim profile in the ‘Far’ zone on the interpretation scale used, where zones are defined as: Very Close (≥0.90), Fairly Close (≥0.75), Problematic (≥0.60), Far (≥0.40), and Very Far (&lt;0.40).</w:t>
      </w:r>
    </w:p>
    <w:p>
      <w:pPr>
        <w:spacing w:before="240" w:after="120"/>
        <w:lnSpc>
          <w:lnSpcVal w:line="360" w:lineRule="auto"/>
        </w:lnSpc>
      </w:pPr>
      <w:r>
        <w:rPr>
          <w:rFonts w:ascii="Times New Roman" w:hAnsi="Times New Roman"/>
          <w:b/>
          <w:sz w:val="24"/>
        </w:rPr>
        <w:t>H.</w:t>
        <w:tab/>
        <w:t>Reading the Numbers: What It Says</w:t>
      </w:r>
    </w:p>
    <w:p>
      <w:pPr>
        <w:spacing w:before="0" w:after="120"/>
        <w:jc w:val="both"/>
        <w:lnSpc>
          <w:lnSpcVal w:line="360" w:lineRule="auto"/>
        </w:lnSpc>
      </w:pPr>
      <w:r>
        <w:rPr>
          <w:rFonts w:ascii="Times New Roman" w:hAnsi="Times New Roman"/>
          <w:b w:val="0"/>
          <w:i w:val="0"/>
          <w:sz w:val="24"/>
        </w:rPr>
        <w:t>The value of 0.5923 communicates two things simultaneously. First, it confirms the existence of a substantial common foundation: the 20 variables with full match represent a significant proportion of the total 57 variables. Second, it shows that in the 37 variables born from specific claims reported by the media, there are systematic differences large enough to lower the similarity score to the ‘Far’ zone.</w:t>
      </w:r>
    </w:p>
    <w:p>
      <w:pPr>
        <w:spacing w:before="0" w:after="120"/>
        <w:ind w:firstLine="425"/>
        <w:jc w:val="both"/>
        <w:lnSpc>
          <w:lnSpcVal w:line="360" w:lineRule="auto"/>
        </w:lnSpc>
      </w:pPr>
      <w:r>
        <w:rPr>
          <w:rFonts w:ascii="Times New Roman" w:hAnsi="Times New Roman"/>
          <w:b w:val="0"/>
          <w:i w:val="0"/>
          <w:sz w:val="24"/>
        </w:rPr>
        <w:t>What is important to attend to is the information hidden behind this single number. The difference between a score of 0.59 and a score of 0.20 is not just a matter of magnitude—it reflects a completely different structure of differences. The score of 0.59 in this case arises from a large common foundation (20 variables) that is offset by an equally large set of differences (37 variables). The same score in another hypothetical case could arise from an entirely different pattern. The same number does not necessarily tell the same story.</w:t>
      </w:r>
    </w:p>
    <w:p>
      <w:pPr>
        <w:spacing w:before="240" w:after="120"/>
        <w:lnSpc>
          <w:lnSpcVal w:line="360" w:lineRule="auto"/>
        </w:lnSpc>
      </w:pPr>
      <w:r>
        <w:rPr>
          <w:rFonts w:ascii="Times New Roman" w:hAnsi="Times New Roman"/>
          <w:b/>
          <w:sz w:val="24"/>
        </w:rPr>
        <w:t>I.</w:t>
        <w:tab/>
        <w:t>Visualisation as a Complement to Calculation</w:t>
      </w:r>
    </w:p>
    <w:p>
      <w:pPr>
        <w:spacing w:before="0" w:after="120"/>
        <w:jc w:val="both"/>
        <w:lnSpc>
          <w:lnSpcVal w:line="360" w:lineRule="auto"/>
        </w:lnSpc>
      </w:pPr>
      <w:r>
        <w:rPr>
          <w:rFonts w:ascii="Times New Roman" w:hAnsi="Times New Roman"/>
          <w:b w:val="0"/>
          <w:i w:val="0"/>
          <w:sz w:val="24"/>
        </w:rPr>
        <w:t>To support more intuitive reading, the project on which this article is based also provides an interactive radial map built as an open-source React application. The radial map places the MUI–PBNU Institutional Position at the central point, and visualises the subject’s position as a point in two-dimensional space whose distance from the centre represents the cosine distance. Five concentric zones (Very Close to Very Far) provide instantly readable visual context without requiring the reader to inspect the underlying numbers.</w:t>
      </w:r>
    </w:p>
    <w:p>
      <w:pPr>
        <w:spacing w:before="0" w:after="120"/>
        <w:ind w:firstLine="425"/>
        <w:jc w:val="both"/>
        <w:lnSpc>
          <w:lnSpcVal w:line="360" w:lineRule="auto"/>
        </w:lnSpc>
      </w:pPr>
      <w:r>
        <w:rPr>
          <w:rFonts w:ascii="Times New Roman" w:hAnsi="Times New Roman"/>
          <w:b w:val="0"/>
          <w:i w:val="0"/>
          <w:sz w:val="24"/>
        </w:rPr>
        <w:t>This visualisation is not decorative. It is part of the epistemological argument of this article: transparency requires not only data openness, but also accessibility of presentation. A map that can be read by journalists, students, and ordinary citizens has a different epistemic value than a table of numbers accessible only to statisticians. The tool further allows users to toggle individual variable values interactively, enabling readers to test how the similarity score changes when specific coding decisions are revised—an affordance that directly operationalises the article’s commitment to auditability.</w:t>
      </w:r>
    </w:p>
    <w:p>
      <w:pPr>
        <w:spacing w:before="240" w:after="120"/>
        <w:lnSpc>
          <w:lnSpcVal w:line="360" w:lineRule="auto"/>
        </w:lnSpc>
      </w:pPr>
      <w:r>
        <w:rPr>
          <w:rFonts w:ascii="Times New Roman" w:hAnsi="Times New Roman"/>
          <w:b/>
          <w:sz w:val="24"/>
        </w:rPr>
        <w:t>J.</w:t>
        <w:tab/>
        <w:t>Construct of Variables as Epistemic Decisions</w:t>
      </w:r>
    </w:p>
    <w:p>
      <w:pPr>
        <w:spacing w:before="0" w:after="120"/>
        <w:jc w:val="both"/>
        <w:lnSpc>
          <w:lnSpcVal w:line="360" w:lineRule="auto"/>
        </w:lnSpc>
      </w:pPr>
      <w:r>
        <w:rPr>
          <w:rFonts w:ascii="Times New Roman" w:hAnsi="Times New Roman"/>
          <w:b w:val="0"/>
          <w:i w:val="0"/>
          <w:sz w:val="24"/>
        </w:rPr>
        <w:t>The most important—and most often overlooked—part of this whole approach is the process of constructing the variables themselves. Each variable in the dataset is the result of a human decision: decisions about which claims are sufficiently documented to include, how to formulate variables neutrally, and from which sources those claims are drawn.</w:t>
      </w:r>
    </w:p>
    <w:p>
      <w:pPr>
        <w:spacing w:before="0" w:after="120"/>
        <w:ind w:firstLine="425"/>
        <w:jc w:val="both"/>
        <w:lnSpc>
          <w:lnSpcVal w:line="360" w:lineRule="auto"/>
        </w:lnSpc>
      </w:pPr>
      <w:r>
        <w:rPr>
          <w:rFonts w:ascii="Times New Roman" w:hAnsi="Times New Roman"/>
          <w:b w:val="0"/>
          <w:i w:val="0"/>
          <w:sz w:val="24"/>
        </w:rPr>
        <w:t>These decisions cannot be completely free from subjective considerations. The choice to formulate the variable as a positive norm (‘Not claiming direct communication with the angel of death’) rather than a negative statement (‘Claiming direct communication with the angel of death’) is a rhetorical choice with mathematical consequences: it determines which side is by default valued at 1 and which at 0. Precisely because these limitations are inherent and cannot be eliminated, the openness of the process becomes the main accountability mechanism. Because each variable is explicitly recorded along with its source, anyone can question the decision to include it, propose an alternative formulation, or dispute the reliability of a source. Open debates about variables are far more epistemologically productive than debates whose assumptions are never disclosed.</w:t>
      </w:r>
    </w:p>
    <w:p>
      <w:pPr>
        <w:spacing w:before="240" w:after="120"/>
        <w:lnSpc>
          <w:lnSpcVal w:line="360" w:lineRule="auto"/>
        </w:lnSpc>
      </w:pPr>
      <w:r>
        <w:rPr>
          <w:rFonts w:ascii="Times New Roman" w:hAnsi="Times New Roman"/>
          <w:b/>
          <w:sz w:val="24"/>
        </w:rPr>
        <w:t>K.</w:t>
        <w:tab/>
        <w:t>The Limits of the Approach: What Numbers Cannot Tell</w:t>
      </w:r>
    </w:p>
    <w:p>
      <w:pPr>
        <w:spacing w:before="0" w:after="120"/>
        <w:jc w:val="both"/>
        <w:lnSpc>
          <w:lnSpcVal w:line="360" w:lineRule="auto"/>
        </w:lnSpc>
      </w:pPr>
      <w:r>
        <w:rPr>
          <w:rFonts w:ascii="Times New Roman" w:hAnsi="Times New Roman"/>
          <w:b w:val="0"/>
          <w:i w:val="0"/>
          <w:sz w:val="24"/>
        </w:rPr>
        <w:t>This section is the most crucial in this article, and at the same time the most frequently missed in discussions of formal methods applied to humanistic domains.</w:t>
      </w:r>
    </w:p>
    <w:p>
      <w:pPr>
        <w:spacing w:before="0" w:after="120"/>
        <w:ind w:firstLine="425"/>
        <w:jc w:val="both"/>
        <w:lnSpc>
          <w:lnSpcVal w:line="360" w:lineRule="auto"/>
        </w:lnSpc>
      </w:pPr>
      <w:r>
        <w:rPr>
          <w:rFonts w:ascii="Times New Roman" w:hAnsi="Times New Roman"/>
          <w:b w:val="0"/>
          <w:i w:val="0"/>
          <w:sz w:val="24"/>
        </w:rPr>
        <w:t>First, this figure is not a theological verdict. The value of 0.5923 measures the distance between two sets of positions encoded in 57 binary variables based on selected sources at a given point in time. It does not state whether the subject is misguided, not misguided, worthy of criticism, or worthy of defending. These are theological questions requiring expertise in tafsir, hadith, kalam, and usul al-fiqh—domains that binary vectors simply cannot address.</w:t>
      </w:r>
    </w:p>
    <w:p>
      <w:pPr>
        <w:spacing w:before="0" w:after="120"/>
        <w:ind w:firstLine="425"/>
        <w:jc w:val="both"/>
        <w:lnSpc>
          <w:lnSpcVal w:line="360" w:lineRule="auto"/>
        </w:lnSpc>
      </w:pPr>
      <w:r>
        <w:rPr>
          <w:rFonts w:ascii="Times New Roman" w:hAnsi="Times New Roman"/>
          <w:b w:val="0"/>
          <w:i w:val="0"/>
          <w:sz w:val="24"/>
        </w:rPr>
        <w:t>Second, variables are human decisions. If the dataset were constructed with a different choice of variables—for example, by including variables that support the subject, or with different weights for different types of claims—the results would differ. This is not a fatal flaw of the methodology but rather because every methodology has assumptions. What sets this approach apart is that these assumptions are explicit and debatable.</w:t>
      </w:r>
    </w:p>
    <w:p>
      <w:pPr>
        <w:spacing w:before="0" w:after="120"/>
        <w:ind w:firstLine="425"/>
        <w:jc w:val="both"/>
        <w:lnSpc>
          <w:lnSpcVal w:line="360" w:lineRule="auto"/>
        </w:lnSpc>
      </w:pPr>
      <w:r>
        <w:rPr>
          <w:rFonts w:ascii="Times New Roman" w:hAnsi="Times New Roman"/>
          <w:b w:val="0"/>
          <w:i w:val="0"/>
          <w:sz w:val="24"/>
        </w:rPr>
        <w:t>Third, it is a snapshot, not a film. The dataset records the claims in circulation and reported over a given period. If the subject subsequently substantially retracts or revises those claims, the dataset should be updated and the numbers will change. Cosine similarity does not record history; it takes a picture of a moment.</w:t>
      </w:r>
    </w:p>
    <w:p>
      <w:pPr>
        <w:spacing w:before="0" w:after="120"/>
        <w:ind w:firstLine="425"/>
        <w:jc w:val="both"/>
        <w:lnSpc>
          <w:lnSpcVal w:line="360" w:lineRule="auto"/>
        </w:lnSpc>
      </w:pPr>
      <w:r>
        <w:rPr>
          <w:rFonts w:ascii="Times New Roman" w:hAnsi="Times New Roman"/>
          <w:b w:val="0"/>
          <w:i w:val="0"/>
          <w:sz w:val="24"/>
        </w:rPr>
        <w:t>Fourth, humans cannot be reduced to vectors. This is the most fundamental limitation. Every individual—including anyone who is the subject of this kind of analysis—is a complex human being with life journeys, social contexts, intentions, and dimensions of humanity that no number can capture. Wittgenstein (2010) reminds us that the meaning of a statement cannot be separated from the context of its use (Lebensform). The binary representation of a claim abstracts that context, and that abstraction is always a partial loss of meaning.</w:t>
      </w:r>
    </w:p>
    <w:p>
      <w:pPr>
        <w:spacing w:before="0" w:after="120"/>
        <w:ind w:firstLine="425"/>
        <w:jc w:val="both"/>
        <w:lnSpc>
          <w:lnSpcVal w:line="360" w:lineRule="auto"/>
        </w:lnSpc>
      </w:pPr>
      <w:r>
        <w:rPr>
          <w:rFonts w:ascii="Times New Roman" w:hAnsi="Times New Roman"/>
          <w:b w:val="0"/>
          <w:i w:val="0"/>
          <w:sz w:val="24"/>
        </w:rPr>
        <w:t>Acknowledging these limitations is not a sign of methodological weakness, but of methodological integrity. A tool that knows the limits of its capabilities can be used responsibly. A tool that claims to be all-purpose is genuinely dangerous.</w:t>
      </w:r>
    </w:p>
    <w:p>
      <w:pPr>
        <w:spacing w:before="240" w:after="120"/>
        <w:lnSpc>
          <w:lnSpcVal w:line="360" w:lineRule="auto"/>
        </w:lnSpc>
      </w:pPr>
      <w:r>
        <w:rPr>
          <w:rFonts w:ascii="Times New Roman" w:hAnsi="Times New Roman"/>
          <w:b/>
          <w:sz w:val="24"/>
        </w:rPr>
        <w:t>L.</w:t>
        <w:tab/>
        <w:t>Discussion</w:t>
      </w:r>
    </w:p>
    <w:p>
      <w:pPr>
        <w:spacing w:before="0" w:after="120"/>
        <w:jc w:val="both"/>
        <w:lnSpc>
          <w:lnSpcVal w:line="360" w:lineRule="auto"/>
        </w:lnSpc>
      </w:pPr>
      <w:r>
        <w:rPr>
          <w:rFonts w:ascii="Times New Roman" w:hAnsi="Times New Roman"/>
          <w:b w:val="0"/>
          <w:i w:val="0"/>
          <w:sz w:val="24"/>
        </w:rPr>
        <w:t xml:space="preserve">Before proceeding, the scope of the engagement that follows must be stated precisely. The discussion appropriates selected idioms from twentieth-century philosophy of science—Popper’s demarcation criterion, Lakatos’s research-programme architecture, and Quine’s web-of-belief image—as </w:t>
      </w:r>
      <w:r>
        <w:rPr>
          <w:rFonts w:ascii="Times New Roman" w:hAnsi="Times New Roman"/>
          <w:b w:val="0"/>
          <w:i/>
          <w:sz w:val="24"/>
        </w:rPr>
        <w:t>heuristic analogies</w:t>
      </w:r>
      <w:r>
        <w:rPr>
          <w:rFonts w:ascii="Times New Roman" w:hAnsi="Times New Roman"/>
          <w:b w:val="0"/>
          <w:i w:val="0"/>
          <w:sz w:val="24"/>
        </w:rPr>
        <w:t xml:space="preserve"> through which the structural transparency afforded by the present instrument can be made intelligible to a reader trained in those traditions (Popper, 2005: 18; Lakatos, 1978: 47; Quine, 1951: 39). No claim of original contribution to the philosophy of science is advanced or intended. The argument moves in the opposite direction: it borrows vocabulary from a mature discipline to clarify a modest methodological proposal in an adjacent domain, and the burden of proof carried by that proposal is correspondingly local rather than disciplinary.</w:t>
      </w:r>
    </w:p>
    <w:p>
      <w:pPr>
        <w:spacing w:before="160" w:after="80"/>
        <w:lnSpc>
          <w:lnSpcVal w:line="360" w:lineRule="auto"/>
        </w:lnSpc>
      </w:pPr>
      <w:r>
        <w:rPr>
          <w:rFonts w:ascii="Times New Roman" w:hAnsi="Times New Roman"/>
          <w:b/>
          <w:i/>
          <w:sz w:val="24"/>
        </w:rPr>
        <w:t>Implications for the Philosophy of Science</w:t>
      </w:r>
    </w:p>
    <w:p>
      <w:pPr>
        <w:spacing w:before="0" w:after="120"/>
        <w:jc w:val="both"/>
        <w:lnSpc>
          <w:lnSpcVal w:line="360" w:lineRule="auto"/>
        </w:lnSpc>
      </w:pPr>
      <w:r>
        <w:rPr>
          <w:rFonts w:ascii="Times New Roman" w:hAnsi="Times New Roman"/>
          <w:b w:val="0"/>
          <w:i w:val="0"/>
          <w:sz w:val="24"/>
        </w:rPr>
        <w:t>The procedure demonstrated in this article borrows a structural feature of scientific practice—the explicit, auditable representation of premises and the calculable relation among them—and transposes it onto a domain that is, on any reasonable construal, not itself a science. This transposition requires careful qualification. The article does not claim, in the Popperian register, that theological propositions are or ought to be falsifiable in the strict sense, nor that the cosine score between two doctrinal profiles is itself a truth-functional verdict. The demarcation problem, as Popper (2005) framed it and as Lakatos subsequently refined it, concerns the conditions under which a body of propositions counts as scientific; the present article sidesteps that question by appropriating not the content of scientific reasoning but its epistemic virtues: the explicitness of assumptions, the reproducibility of operations, and the verifiability of intermediate steps.</w:t>
      </w:r>
    </w:p>
    <w:p>
      <w:pPr>
        <w:spacing w:before="0" w:after="120"/>
        <w:ind w:firstLine="425"/>
        <w:jc w:val="both"/>
        <w:lnSpc>
          <w:lnSpcVal w:line="360" w:lineRule="auto"/>
        </w:lnSpc>
      </w:pPr>
      <w:r>
        <w:rPr>
          <w:rFonts w:ascii="Times New Roman" w:hAnsi="Times New Roman"/>
          <w:b w:val="0"/>
          <w:i w:val="0"/>
          <w:sz w:val="24"/>
        </w:rPr>
        <w:t>This appropriation finds support in recent work in the social epistemology of science. Longino (2002: 128–135) argues that the criteria for genuine knowledge—publicly recognised venues for criticism, uptake of criticism, public standards, and tempered equality of intellectual authority—are not the exclusive property of natural science but generalise to any community engaged in the cooperative production of warranted belief. Kitcher’s (2001: 117–135) notion of well-ordered science points in the same direction: what makes an inquiry well-ordered is not its subject matter but the institutional and procedural transparency through which its claims are produced and contested. Cosine similarity, deployed as an epistemic scaffold, contributes precisely such procedural transparency to a discourse that has historically been mediated by charismatic authority and rhetorical performance.</w:t>
      </w:r>
    </w:p>
    <w:p>
      <w:pPr>
        <w:spacing w:before="0" w:after="120"/>
        <w:ind w:firstLine="425"/>
        <w:jc w:val="both"/>
        <w:lnSpc>
          <w:lnSpcVal w:line="360" w:lineRule="auto"/>
        </w:lnSpc>
      </w:pPr>
      <w:r>
        <w:rPr>
          <w:rFonts w:ascii="Times New Roman" w:hAnsi="Times New Roman"/>
          <w:b w:val="0"/>
          <w:i w:val="0"/>
          <w:sz w:val="24"/>
        </w:rPr>
        <w:t>For the long-running debate over the Islamisation of Knowledge, this reframing matters. Rather than asking whether religious commitments can constitute a science in their own right, the present approach asks a narrower and more tractable question: which formal techniques of representation and comparison, drawn from contemporary information science, can be reflectively appropriated to render public theological discourse more accountable to its own stated premises? Posed this way, the question avoids the polemical impasse between sacralisation and secularisation of knowledge and opens a pragmatic middle path.</w:t>
      </w:r>
    </w:p>
    <w:p>
      <w:pPr>
        <w:spacing w:before="160" w:after="80"/>
        <w:lnSpc>
          <w:lnSpcVal w:line="360" w:lineRule="auto"/>
        </w:lnSpc>
      </w:pPr>
      <w:r>
        <w:rPr>
          <w:rFonts w:ascii="Times New Roman" w:hAnsi="Times New Roman"/>
          <w:b/>
          <w:i/>
          <w:sz w:val="24"/>
        </w:rPr>
        <w:t>Implications for Islamic Epistemology</w:t>
      </w:r>
    </w:p>
    <w:p>
      <w:pPr>
        <w:spacing w:before="0" w:after="120"/>
        <w:jc w:val="both"/>
        <w:lnSpc>
          <w:lnSpcVal w:line="360" w:lineRule="auto"/>
        </w:lnSpc>
      </w:pPr>
      <w:r>
        <w:rPr>
          <w:rFonts w:ascii="Times New Roman" w:hAnsi="Times New Roman"/>
          <w:b w:val="0"/>
          <w:i w:val="0"/>
          <w:sz w:val="24"/>
        </w:rPr>
        <w:t>The application of cosine similarity to theological discourse raises serious questions for Islamic epistemology, and the engagement here cannot remain at the level of nominal citation. Four substantive objections must be addressed before the proposed instrument can claim any legitimacy within an Islamic intellectual frame: the desacralisation critique articulated by Nasr, the bayan-incompatibility worry suggested by al-Jabiri, the unresolved question of Islamisation of Knowledge (al-Faruqi, al-Attas), and the historical comparison with jarh wa taʿdil.</w:t>
      </w:r>
    </w:p>
    <w:p>
      <w:pPr>
        <w:spacing w:before="0" w:after="120"/>
        <w:ind w:firstLine="425"/>
        <w:jc w:val="both"/>
        <w:lnSpc>
          <w:lnSpcVal w:line="360" w:lineRule="auto"/>
        </w:lnSpc>
      </w:pPr>
      <w:r>
        <w:rPr>
          <w:rFonts w:ascii="Times New Roman" w:hAnsi="Times New Roman"/>
          <w:b/>
          <w:i w:val="0"/>
          <w:sz w:val="24"/>
        </w:rPr>
        <w:t xml:space="preserve">On Nasr and the desacralisation worry. </w:t>
      </w:r>
      <w:r>
        <w:rPr>
          <w:rFonts w:ascii="Times New Roman" w:hAnsi="Times New Roman"/>
          <w:b w:val="0"/>
          <w:i w:val="0"/>
          <w:sz w:val="24"/>
        </w:rPr>
        <w:t>Nasr (1989: 6–10) has long warned that quantitative reduction of sacred domains constitutes a form of epistemic desacralisation, collapsing the vertical ontology of revealed knowledge into a horizontal grid of measurable quantities. This concern is legitimate and must not be deflected. The response, however, requires distinguishing the level at which cosine similarity operates. Following Ha’iri Yazdi’s (1992: 43–58) careful reconstruction of the Avicennan–Suhrawardian distinction, knowledge in the Islamic tradition is bifurcated between al-ʻildm al-husuli—representational, mediated, propositional knowledge obtained through concepts and signs—and al-ʻildm al-huduri—presential, unmediated knowledge in which the knower is immediately united with the known. Cosine similarity operates strictly at the husuli level: it manipulates lexical and distributional traces of public utterances, not the noetic content to which the saints, the prophets, or the contemplatives have huduri access. The sacred, in Nasr’s sense, is precisely what huduri knowledge discloses (Nasr, 1989: 130–135); it is not what is captured by token co-occurrence in a corpus of theological media reports. The tool measures public textual surfaces, leaving the domain of presential knowledge untouched. Desacralisation occurs when the husuli is claimed to exhaust the huduri; it does not occur when husuli analysis remains modest about its own object.</w:t>
      </w:r>
    </w:p>
    <w:p>
      <w:pPr>
        <w:spacing w:before="0" w:after="120"/>
        <w:ind w:firstLine="425"/>
        <w:jc w:val="both"/>
        <w:lnSpc>
          <w:lnSpcVal w:line="360" w:lineRule="auto"/>
        </w:lnSpc>
      </w:pPr>
      <w:r>
        <w:rPr>
          <w:rFonts w:ascii="Times New Roman" w:hAnsi="Times New Roman"/>
          <w:b/>
          <w:i w:val="0"/>
          <w:sz w:val="24"/>
        </w:rPr>
        <w:t xml:space="preserve">On al-Jabiri and the modality of bayan. </w:t>
      </w:r>
      <w:r>
        <w:rPr>
          <w:rFonts w:ascii="Times New Roman" w:hAnsi="Times New Roman"/>
          <w:b w:val="0"/>
          <w:i w:val="0"/>
          <w:sz w:val="24"/>
        </w:rPr>
        <w:t xml:space="preserve">Al-Jabiri (1991: 38–47) characterises bayan as a discursive modality that resists reduction of revealed text to extra-textual structures, since the warrant of bayani reasoning is the linguistic-juridical authority of the naql itself. If cosine similarity were proposed as a substitute for bayani interpretation, the objection would be fatal. It is not. The instrument is here construed as a </w:t>
      </w:r>
      <w:r>
        <w:rPr>
          <w:rFonts w:ascii="Times New Roman" w:hAnsi="Times New Roman"/>
          <w:b w:val="0"/>
          <w:i/>
          <w:sz w:val="24"/>
        </w:rPr>
        <w:t>pre-bayani</w:t>
      </w:r>
      <w:r>
        <w:rPr>
          <w:rFonts w:ascii="Times New Roman" w:hAnsi="Times New Roman"/>
          <w:b w:val="0"/>
          <w:i w:val="0"/>
          <w:sz w:val="24"/>
        </w:rPr>
        <w:t xml:space="preserve"> device: a data-ordering procedure that locates positions in a discursive field prior to the hermeneutic labour of bayan. The distinction between ‘replacing bayan’ and ‘serving bayan’ is decisive. Concordances, isnad tables, and lexical indices are likewise extra-bayani in mechanism yet have served bayani scholarship for centuries without compromising it. Cosine similarity belongs to this same instrumental register: it conditions the encounter with text without arrogating the authority to interpret it.</w:t>
      </w:r>
    </w:p>
    <w:p>
      <w:pPr>
        <w:spacing w:before="0" w:after="120"/>
        <w:ind w:firstLine="425"/>
        <w:jc w:val="both"/>
        <w:lnSpc>
          <w:lnSpcVal w:line="360" w:lineRule="auto"/>
        </w:lnSpc>
      </w:pPr>
      <w:r>
        <w:rPr>
          <w:rFonts w:ascii="Times New Roman" w:hAnsi="Times New Roman"/>
          <w:b/>
          <w:i w:val="0"/>
          <w:sz w:val="24"/>
        </w:rPr>
        <w:t xml:space="preserve">On Islamisation of Knowledge. </w:t>
      </w:r>
      <w:r>
        <w:rPr>
          <w:rFonts w:ascii="Times New Roman" w:hAnsi="Times New Roman"/>
          <w:b w:val="0"/>
          <w:i w:val="0"/>
          <w:sz w:val="24"/>
        </w:rPr>
        <w:t xml:space="preserve">Neither al-Faruqi (1982: 14–20) nor al-Attas (1995: 113–120) is invoked to legitimise a claim that statistics has been ‘Islamised.’ Such a claim would be hubristic and methodologically empty. The position here is narrower: technical instrumentation can prepare conditions under which Islamic theological reasoning becomes more tractable, without itself becoming theological. The proper category is </w:t>
      </w:r>
      <w:r>
        <w:rPr>
          <w:rFonts w:ascii="Times New Roman" w:hAnsi="Times New Roman"/>
          <w:b w:val="0"/>
          <w:i/>
          <w:sz w:val="24"/>
        </w:rPr>
        <w:t>technical instrumentalisation</w:t>
      </w:r>
      <w:r>
        <w:rPr>
          <w:rFonts w:ascii="Times New Roman" w:hAnsi="Times New Roman"/>
          <w:b w:val="0"/>
          <w:i w:val="0"/>
          <w:sz w:val="24"/>
        </w:rPr>
        <w:t xml:space="preserve">, not Islamisation. Al-Attas’s worry was the uncritical importation of secular epistemic frames </w:t>
      </w:r>
      <w:r>
        <w:rPr>
          <w:rFonts w:ascii="Times New Roman" w:hAnsi="Times New Roman"/>
          <w:b w:val="0"/>
          <w:i/>
          <w:sz w:val="24"/>
        </w:rPr>
        <w:t>as</w:t>
      </w:r>
      <w:r>
        <w:rPr>
          <w:rFonts w:ascii="Times New Roman" w:hAnsi="Times New Roman"/>
          <w:b w:val="0"/>
          <w:i w:val="0"/>
          <w:sz w:val="24"/>
        </w:rPr>
        <w:t xml:space="preserve"> worldview; cosine similarity is offered not as a worldview but as an arithmetic operation on vectors, agnostic about ontology and silent about ends.</w:t>
      </w:r>
    </w:p>
    <w:p>
      <w:pPr>
        <w:spacing w:before="0" w:after="120"/>
        <w:ind w:firstLine="425"/>
        <w:jc w:val="both"/>
        <w:lnSpc>
          <w:lnSpcVal w:line="360" w:lineRule="auto"/>
        </w:lnSpc>
      </w:pPr>
      <w:r>
        <w:rPr>
          <w:rFonts w:ascii="Times New Roman" w:hAnsi="Times New Roman"/>
          <w:b/>
          <w:i w:val="0"/>
          <w:sz w:val="24"/>
        </w:rPr>
        <w:t xml:space="preserve">On jarh wa taʿdil. </w:t>
      </w:r>
      <w:r>
        <w:rPr>
          <w:rFonts w:ascii="Times New Roman" w:hAnsi="Times New Roman"/>
          <w:b w:val="0"/>
          <w:i w:val="0"/>
          <w:sz w:val="24"/>
        </w:rPr>
        <w:t xml:space="preserve">The comparison with hadith criticism is the most pointed objection. Ibn Hajar’s taxonomy—five graded levels of taʿdil and six of jarh (Ibn Hajar, 1986: 76–80)—operationalises a contextual, multidimensional, biographically grounded epistemics that no one-dimensional cosine score can rival. The honest claim is therefore minimalist: cosine similarity is not a competitor to jarh wa taʿdil but a </w:t>
      </w:r>
      <w:r>
        <w:rPr>
          <w:rFonts w:ascii="Times New Roman" w:hAnsi="Times New Roman"/>
          <w:b w:val="0"/>
          <w:i/>
          <w:sz w:val="24"/>
        </w:rPr>
        <w:t>stopgap</w:t>
      </w:r>
      <w:r>
        <w:rPr>
          <w:rFonts w:ascii="Times New Roman" w:hAnsi="Times New Roman"/>
          <w:b w:val="0"/>
          <w:i w:val="0"/>
          <w:sz w:val="24"/>
        </w:rPr>
        <w:t xml:space="preserve"> applicable where the contextual access required by jarh wa taʿdil is absent—namely, contemporary public discourse where biographical, isnad-based, and madhhab-internal information is unavailable or unverifiable. A limited instrument deployed where the richer one cannot reach is preferable to no instrument at all, provided its limitations are acknowledged rather than disguised.</w:t>
      </w:r>
    </w:p>
    <w:p>
      <w:pPr>
        <w:spacing w:before="0" w:after="120"/>
        <w:ind w:firstLine="425"/>
        <w:jc w:val="both"/>
        <w:lnSpc>
          <w:lnSpcVal w:line="360" w:lineRule="auto"/>
        </w:lnSpc>
      </w:pPr>
      <w:r>
        <w:rPr>
          <w:rFonts w:ascii="Times New Roman" w:hAnsi="Times New Roman"/>
          <w:b/>
          <w:i w:val="0"/>
          <w:sz w:val="24"/>
        </w:rPr>
        <w:t xml:space="preserve">Epistemic grading: yaqin, zann, shakk. </w:t>
      </w:r>
      <w:r>
        <w:rPr>
          <w:rFonts w:ascii="Times New Roman" w:hAnsi="Times New Roman"/>
          <w:b w:val="0"/>
          <w:i w:val="0"/>
          <w:sz w:val="24"/>
        </w:rPr>
        <w:t xml:space="preserve">The outputs of cosine similarity should be located within the traditional Islamic grading of epistemic states. Kamali (2003: 87–92) reconstructs the hierarchy whereby </w:t>
      </w:r>
      <w:r>
        <w:rPr>
          <w:rFonts w:ascii="Times New Roman" w:hAnsi="Times New Roman"/>
          <w:b w:val="0"/>
          <w:i/>
          <w:sz w:val="24"/>
        </w:rPr>
        <w:t>yaqin</w:t>
      </w:r>
      <w:r>
        <w:rPr>
          <w:rFonts w:ascii="Times New Roman" w:hAnsi="Times New Roman"/>
          <w:b w:val="0"/>
          <w:i w:val="0"/>
          <w:sz w:val="24"/>
        </w:rPr>
        <w:t xml:space="preserve"> (certainty) is reserved for knowledge of the highest evidentiary class, </w:t>
      </w:r>
      <w:r>
        <w:rPr>
          <w:rFonts w:ascii="Times New Roman" w:hAnsi="Times New Roman"/>
          <w:b w:val="0"/>
          <w:i/>
          <w:sz w:val="24"/>
        </w:rPr>
        <w:t>zann</w:t>
      </w:r>
      <w:r>
        <w:rPr>
          <w:rFonts w:ascii="Times New Roman" w:hAnsi="Times New Roman"/>
          <w:b w:val="0"/>
          <w:i w:val="0"/>
          <w:sz w:val="24"/>
        </w:rPr>
        <w:t xml:space="preserve"> (probable conjecture) governs the vast middle range of juristic and discursive reasoning, and </w:t>
      </w:r>
      <w:r>
        <w:rPr>
          <w:rFonts w:ascii="Times New Roman" w:hAnsi="Times New Roman"/>
          <w:b w:val="0"/>
          <w:i/>
          <w:sz w:val="24"/>
        </w:rPr>
        <w:t>shakk</w:t>
      </w:r>
      <w:r>
        <w:rPr>
          <w:rFonts w:ascii="Times New Roman" w:hAnsi="Times New Roman"/>
          <w:b w:val="0"/>
          <w:i w:val="0"/>
          <w:sz w:val="24"/>
        </w:rPr>
        <w:t xml:space="preserve"> (doubt) marks the lower boundary. Cosine similarity, by its very nature—finite corpus, lossy binary encoding, distributional rather than semantic warrant—yields outputs that belong unambiguously to the domain of </w:t>
      </w:r>
      <w:r>
        <w:rPr>
          <w:rFonts w:ascii="Times New Roman" w:hAnsi="Times New Roman"/>
          <w:b w:val="0"/>
          <w:i/>
          <w:sz w:val="24"/>
        </w:rPr>
        <w:t>zann</w:t>
      </w:r>
      <w:r>
        <w:rPr>
          <w:rFonts w:ascii="Times New Roman" w:hAnsi="Times New Roman"/>
          <w:b w:val="0"/>
          <w:i w:val="0"/>
          <w:sz w:val="24"/>
        </w:rPr>
        <w:t xml:space="preserve">. To present such outputs as </w:t>
      </w:r>
      <w:r>
        <w:rPr>
          <w:rFonts w:ascii="Times New Roman" w:hAnsi="Times New Roman"/>
          <w:b w:val="0"/>
          <w:i/>
          <w:sz w:val="24"/>
        </w:rPr>
        <w:t>yaqin</w:t>
      </w:r>
      <w:r>
        <w:rPr>
          <w:rFonts w:ascii="Times New Roman" w:hAnsi="Times New Roman"/>
          <w:b w:val="0"/>
          <w:i w:val="0"/>
          <w:sz w:val="24"/>
        </w:rPr>
        <w:t xml:space="preserve"> would be a category error; to acknowledge them as </w:t>
      </w:r>
      <w:r>
        <w:rPr>
          <w:rFonts w:ascii="Times New Roman" w:hAnsi="Times New Roman"/>
          <w:b w:val="0"/>
          <w:i/>
          <w:sz w:val="24"/>
        </w:rPr>
        <w:t>zann</w:t>
      </w:r>
      <w:r>
        <w:rPr>
          <w:rFonts w:ascii="Times New Roman" w:hAnsi="Times New Roman"/>
          <w:b w:val="0"/>
          <w:i w:val="0"/>
          <w:sz w:val="24"/>
        </w:rPr>
        <w:t xml:space="preserve"> is an honest alignment with the Islamic tradition’s own refusal to overstate what mediated reasoning can deliver.</w:t>
      </w:r>
    </w:p>
    <w:p>
      <w:pPr>
        <w:spacing w:before="160" w:after="80"/>
        <w:lnSpc>
          <w:lnSpcVal w:line="360" w:lineRule="auto"/>
        </w:lnSpc>
      </w:pPr>
      <w:r>
        <w:rPr>
          <w:rFonts w:ascii="Times New Roman" w:hAnsi="Times New Roman"/>
          <w:b/>
          <w:i/>
          <w:sz w:val="24"/>
        </w:rPr>
        <w:t>Implications for Public Discourse in Indonesia</w:t>
      </w:r>
    </w:p>
    <w:p>
      <w:pPr>
        <w:spacing w:before="0" w:after="120"/>
        <w:jc w:val="both"/>
        <w:lnSpc>
          <w:lnSpcVal w:line="360" w:lineRule="auto"/>
        </w:lnSpc>
      </w:pPr>
      <w:r>
        <w:rPr>
          <w:rFonts w:ascii="Times New Roman" w:hAnsi="Times New Roman"/>
          <w:b w:val="0"/>
          <w:i w:val="0"/>
          <w:sz w:val="24"/>
        </w:rPr>
        <w:t>The Indonesian religious public sphere is now mediated, to an unprecedented degree, by short-form digital content whose virality often outruns its theological scrutiny (Bunt, 2018). Cases analogous to Mama Ghufron’s recur with increasing frequency, each generating a familiar cycle of viral outrage, denominational rebuttal, and inconclusive debate. A transparent epistemic scaffold of the kind demonstrated here offers practical value to several stakeholders: to journalists seeking a defensible basis for reporting on doctrinal controversies, to authoritative bodies such as MUI, Nahdlatul Ulama, and Muhammadiyah seeking to articulate the structural location of a contested claim, and to the general public seeking literacy in the criteria by which such judgements are made.</w:t>
      </w:r>
    </w:p>
    <w:p>
      <w:pPr>
        <w:spacing w:before="0" w:after="120"/>
        <w:ind w:firstLine="425"/>
        <w:jc w:val="both"/>
        <w:lnSpc>
          <w:lnSpcVal w:line="360" w:lineRule="auto"/>
        </w:lnSpc>
      </w:pPr>
      <w:r>
        <w:rPr>
          <w:rFonts w:ascii="Times New Roman" w:hAnsi="Times New Roman"/>
          <w:b w:val="0"/>
          <w:i w:val="0"/>
          <w:sz w:val="24"/>
        </w:rPr>
        <w:t>The risks of misuse are real and must be confronted. The construction of the binary dataset is itself an exercise of interpretive authority: whoever defines the 57 variables and stipulates the reference position effectively constrains the space of permissible answers. A tool of this kind could be weaponised for sectarian disqualification or for politically motivated discrediting of preachers whose appeal is inconvenient to incumbent authorities. Mitigating these risks requires institutional safeguards: the public documentation of coding decisions, the involvement of plural scholarly voices in dataset construction, and an explicit norm that similarity scores function as discussion-opening evidence rather than as discussion-closing verdicts.</w:t>
      </w:r>
    </w:p>
    <w:p>
      <w:pPr>
        <w:spacing w:before="0" w:after="120"/>
        <w:ind w:firstLine="425"/>
        <w:jc w:val="both"/>
        <w:lnSpc>
          <w:lnSpcVal w:line="360" w:lineRule="auto"/>
        </w:lnSpc>
      </w:pPr>
      <w:r>
        <w:rPr>
          <w:rFonts w:ascii="Times New Roman" w:hAnsi="Times New Roman"/>
          <w:b w:val="0"/>
          <w:i w:val="0"/>
          <w:sz w:val="24"/>
        </w:rPr>
        <w:t>These safeguards align naturally with two cardinal values of Indonesian Islamic civic culture: musyawarah, the deliberative consultation through which contested matters are collectively adjudicated, and tabayyun, the Qurʼanic injunction (Q. 49:6) to verify reports before acting upon them. Cosine similarity, properly deployed, does not displace these practices; it equips them with a more disciplined evidentiary base.</w:t>
      </w:r>
    </w:p>
    <w:p>
      <w:pPr>
        <w:spacing w:before="240" w:after="120"/>
        <w:lnSpc>
          <w:lnSpcVal w:line="360" w:lineRule="auto"/>
        </w:lnSpc>
      </w:pPr>
      <w:r>
        <w:rPr>
          <w:rFonts w:ascii="Times New Roman" w:hAnsi="Times New Roman"/>
          <w:b/>
          <w:sz w:val="24"/>
        </w:rPr>
        <w:t>N.</w:t>
        <w:tab/>
        <w:t>Methodological Reflexivity: On the Structure of the Similarity Score</w:t>
      </w:r>
    </w:p>
    <w:p>
      <w:pPr>
        <w:spacing w:before="0" w:after="120"/>
        <w:jc w:val="both"/>
        <w:lnSpc>
          <w:lnSpcVal w:line="360" w:lineRule="auto"/>
        </w:lnSpc>
      </w:pPr>
      <w:r>
        <w:rPr>
          <w:rFonts w:ascii="Times New Roman" w:hAnsi="Times New Roman"/>
          <w:b w:val="0"/>
          <w:i w:val="0"/>
          <w:sz w:val="24"/>
        </w:rPr>
        <w:t>A rigorous reviewer has rightly observed that, given the present configuration of the dataset—twenty variables coded b=1 (shared foundational doctrines) against thirty-seven variables coded b=0 (controversial or rejected claims)—the cosine similarity formula collapses into a transparent algebraic identity. With a=1 for all fifty-seven variables on the orthodox vector and b=1 for only the twenty foundational variables on the case vector, the dot product reduces to 20, the orthodox norm to √57, and the case norm to √20. The score therefore simplifies to:</w:t>
      </w:r>
    </w:p>
    <w:p>
      <w:pPr>
        <w:spacing w:before="80" w:after="80"/>
        <w:jc w:val="center"/>
        <w:lnSpc>
          <w:lnSpcVal w:line="360" w:lineRule="auto"/>
        </w:lnSpc>
      </w:pPr>
      <w:r>
        <w:rPr>
          <w:rFonts w:ascii="Courier New" w:hAnsi="Courier New"/>
          <w:sz w:val="24"/>
        </w:rPr>
        <w:t>cos(θ) = 20 / (√57 · √20) = √(20/57) ≈ 0.5923</w:t>
      </w:r>
    </w:p>
    <w:p>
      <w:pPr>
        <w:spacing w:before="0" w:after="120"/>
        <w:ind w:firstLine="425"/>
        <w:jc w:val="both"/>
        <w:lnSpc>
          <w:lnSpcVal w:line="360" w:lineRule="auto"/>
        </w:lnSpc>
      </w:pPr>
      <w:r>
        <w:rPr>
          <w:rFonts w:ascii="Times New Roman" w:hAnsi="Times New Roman"/>
          <w:b w:val="0"/>
          <w:i w:val="0"/>
          <w:sz w:val="24"/>
        </w:rPr>
        <w:t xml:space="preserve">This is not a coincidence but a structural consequence of binary coding. The reported value is, in this sense, a deterministic function of the </w:t>
      </w:r>
      <w:r>
        <w:rPr>
          <w:rFonts w:ascii="Times New Roman" w:hAnsi="Times New Roman"/>
          <w:b w:val="0"/>
          <w:i/>
          <w:sz w:val="24"/>
        </w:rPr>
        <w:t>design ratio</w:t>
      </w:r>
      <w:r>
        <w:rPr>
          <w:rFonts w:ascii="Times New Roman" w:hAnsi="Times New Roman"/>
          <w:b w:val="0"/>
          <w:i w:val="0"/>
          <w:sz w:val="24"/>
        </w:rPr>
        <w:t xml:space="preserve"> between foundational and contested variables, not an independent empirical measurement of the subject under study. Intellectual honesty requires us to state this explicitly: had we enumerated ten additional controversial variables, the score would have declined to √(20/67) ≈ 0.5466 by arithmetic alone, without any new theological information being introduced. The number, taken in isolation, is therefore not a ‘discovery.’</w:t>
      </w:r>
    </w:p>
    <w:p>
      <w:pPr>
        <w:spacing w:before="0" w:after="120"/>
        <w:ind w:firstLine="425"/>
        <w:jc w:val="both"/>
        <w:lnSpc>
          <w:lnSpcVal w:line="360" w:lineRule="auto"/>
        </w:lnSpc>
      </w:pPr>
      <w:r>
        <w:rPr>
          <w:rFonts w:ascii="Times New Roman" w:hAnsi="Times New Roman"/>
          <w:b w:val="0"/>
          <w:i w:val="0"/>
          <w:sz w:val="24"/>
        </w:rPr>
        <w:t xml:space="preserve">Acknowledging this, however, does not vacate the contribution of the present paper; it clarifies what that contribution actually is. Our claim has never been that cosine similarity </w:t>
      </w:r>
      <w:r>
        <w:rPr>
          <w:rFonts w:ascii="Times New Roman" w:hAnsi="Times New Roman"/>
          <w:b w:val="0"/>
          <w:i/>
          <w:sz w:val="24"/>
        </w:rPr>
        <w:t>discovers</w:t>
      </w:r>
      <w:r>
        <w:rPr>
          <w:rFonts w:ascii="Times New Roman" w:hAnsi="Times New Roman"/>
          <w:b w:val="0"/>
          <w:i w:val="0"/>
          <w:sz w:val="24"/>
        </w:rPr>
        <w:t xml:space="preserve"> the epistemic distance between a contested case and the orthodox foundation. The claim is that it </w:t>
      </w:r>
      <w:r>
        <w:rPr>
          <w:rFonts w:ascii="Times New Roman" w:hAnsi="Times New Roman"/>
          <w:b w:val="0"/>
          <w:i/>
          <w:sz w:val="24"/>
        </w:rPr>
        <w:t>displays</w:t>
      </w:r>
      <w:r>
        <w:rPr>
          <w:rFonts w:ascii="Times New Roman" w:hAnsi="Times New Roman"/>
          <w:b w:val="0"/>
          <w:i w:val="0"/>
          <w:sz w:val="24"/>
        </w:rPr>
        <w:t xml:space="preserve"> that distance in a form that is auditable, reproducible, and open to disputation. What the procedure guarantees, however, is </w:t>
      </w:r>
      <w:r>
        <w:rPr>
          <w:rFonts w:ascii="Times New Roman" w:hAnsi="Times New Roman"/>
          <w:b w:val="0"/>
          <w:i/>
          <w:sz w:val="24"/>
        </w:rPr>
        <w:t>transparency of mechanism</w:t>
      </w:r>
      <w:r>
        <w:rPr>
          <w:rFonts w:ascii="Times New Roman" w:hAnsi="Times New Roman"/>
          <w:b w:val="0"/>
          <w:i w:val="0"/>
          <w:sz w:val="24"/>
        </w:rPr>
        <w:t xml:space="preserve">—the auditability of every step from source citation through coding decision to final computation—rather than </w:t>
      </w:r>
      <w:r>
        <w:rPr>
          <w:rFonts w:ascii="Times New Roman" w:hAnsi="Times New Roman"/>
          <w:b w:val="0"/>
          <w:i/>
          <w:sz w:val="24"/>
        </w:rPr>
        <w:t>transparency of outcome</w:t>
      </w:r>
      <w:r>
        <w:rPr>
          <w:rFonts w:ascii="Times New Roman" w:hAnsi="Times New Roman"/>
          <w:b w:val="0"/>
          <w:i w:val="0"/>
          <w:sz w:val="24"/>
        </w:rPr>
        <w:t xml:space="preserve">, since the outcome itself remains conditioned by coding choices whose reliability, as reported above, is no higher than moderate (Krippendorff, 2004: 241). The score travels into public discourse as a </w:t>
      </w:r>
      <w:r>
        <w:rPr>
          <w:rFonts w:ascii="Times New Roman" w:hAnsi="Times New Roman"/>
          <w:b w:val="0"/>
          <w:i/>
          <w:sz w:val="24"/>
        </w:rPr>
        <w:t>contestable artefact</w:t>
      </w:r>
      <w:r>
        <w:rPr>
          <w:rFonts w:ascii="Times New Roman" w:hAnsi="Times New Roman"/>
          <w:b w:val="0"/>
          <w:i w:val="0"/>
          <w:sz w:val="24"/>
        </w:rPr>
        <w:t xml:space="preserve"> whose construction is open to inspection, not as a frictionless number whose magnitude has been laundered of the interpretive labour that produced it. The cosine operation here functions as a </w:t>
      </w:r>
      <w:r>
        <w:rPr>
          <w:rFonts w:ascii="Times New Roman" w:hAnsi="Times New Roman"/>
          <w:b w:val="0"/>
          <w:i/>
          <w:sz w:val="24"/>
        </w:rPr>
        <w:t>display mechanism</w:t>
      </w:r>
      <w:r>
        <w:rPr>
          <w:rFonts w:ascii="Times New Roman" w:hAnsi="Times New Roman"/>
          <w:b w:val="0"/>
          <w:i w:val="0"/>
          <w:sz w:val="24"/>
        </w:rPr>
        <w:t xml:space="preserve"> rather than a </w:t>
      </w:r>
      <w:r>
        <w:rPr>
          <w:rFonts w:ascii="Times New Roman" w:hAnsi="Times New Roman"/>
          <w:b w:val="0"/>
          <w:i/>
          <w:sz w:val="24"/>
        </w:rPr>
        <w:t>discovery mechanism</w:t>
      </w:r>
      <w:r>
        <w:rPr>
          <w:rFonts w:ascii="Times New Roman" w:hAnsi="Times New Roman"/>
          <w:b w:val="0"/>
          <w:i w:val="0"/>
          <w:sz w:val="24"/>
        </w:rPr>
        <w:t>—a way of compressing a multidimensional ledger of doctrinal commitments into a single ordinal that travels well in public discourse, provided the underlying ledger is published alongside it. The very determinism that the reviewer identifies is, paradoxically, an epistemic virtue: a stakeholder who disagrees with the score can reconstruct it line by line, contest any individual coding, and recompute the result. This is precisely the standard of transparency demanded by post-positivist accounts of public reason (Habermas, 1984: 22).</w:t>
      </w:r>
    </w:p>
    <w:p>
      <w:pPr>
        <w:spacing w:before="0" w:after="120"/>
        <w:ind w:firstLine="425"/>
        <w:jc w:val="both"/>
        <w:lnSpc>
          <w:lnSpcVal w:line="360" w:lineRule="auto"/>
        </w:lnSpc>
      </w:pPr>
      <w:r>
        <w:rPr>
          <w:rFonts w:ascii="Times New Roman" w:hAnsi="Times New Roman"/>
          <w:b w:val="0"/>
          <w:i w:val="0"/>
          <w:sz w:val="24"/>
        </w:rPr>
        <w:t xml:space="preserve">The same logic governs other widely accepted composite indices. The Human Development Index, the Gini coefficient, and even the h-index are, mathematically, functions of the variables their authors elected to include; none of them is an immaculate empirical measurement, yet each remains informative because its construction is open and its assumptions are declarable (Stiglitz, Sen, and Fitoussi, 2010: 63). Cosine similarity in doctrinal space belongs to this family of </w:t>
      </w:r>
      <w:r>
        <w:rPr>
          <w:rFonts w:ascii="Times New Roman" w:hAnsi="Times New Roman"/>
          <w:b w:val="0"/>
          <w:i/>
          <w:sz w:val="24"/>
        </w:rPr>
        <w:t>transparent reductive instruments</w:t>
      </w:r>
      <w:r>
        <w:rPr>
          <w:rFonts w:ascii="Times New Roman" w:hAnsi="Times New Roman"/>
          <w:b w:val="0"/>
          <w:i w:val="0"/>
          <w:sz w:val="24"/>
        </w:rPr>
        <w:t>.</w:t>
      </w:r>
    </w:p>
    <w:p>
      <w:pPr>
        <w:spacing w:before="0" w:after="120"/>
        <w:ind w:firstLine="425"/>
        <w:jc w:val="both"/>
        <w:lnSpc>
          <w:lnSpcVal w:line="360" w:lineRule="auto"/>
        </w:lnSpc>
      </w:pPr>
      <w:r>
        <w:rPr>
          <w:rFonts w:ascii="Times New Roman" w:hAnsi="Times New Roman"/>
          <w:b w:val="0"/>
          <w:i w:val="0"/>
          <w:sz w:val="24"/>
        </w:rPr>
        <w:t xml:space="preserve">What can legitimately be compared, then, is not the absolute value of a single score but the </w:t>
      </w:r>
      <w:r>
        <w:rPr>
          <w:rFonts w:ascii="Times New Roman" w:hAnsi="Times New Roman"/>
          <w:b w:val="0"/>
          <w:i/>
          <w:sz w:val="24"/>
        </w:rPr>
        <w:t>variability across cases sharing a common foundational frame</w:t>
      </w:r>
      <w:r>
        <w:rPr>
          <w:rFonts w:ascii="Times New Roman" w:hAnsi="Times New Roman"/>
          <w:b w:val="0"/>
          <w:i w:val="0"/>
          <w:sz w:val="24"/>
        </w:rPr>
        <w:t>. If Case A involves five controversial commitments while Case B involves thirty-five, the resulting scores diverge informatively, and that divergence is genuine epistemic signal rather than design artefact. The single-case demonstration in the present paper cannot, by construction, exhibit this comparative dimension; we acknowledge this as a real limitation (Creswell, 2014: 185).</w:t>
      </w:r>
    </w:p>
    <w:p>
      <w:pPr>
        <w:spacing w:before="0" w:after="120"/>
        <w:ind w:firstLine="425"/>
        <w:jc w:val="both"/>
        <w:lnSpc>
          <w:lnSpcVal w:line="360" w:lineRule="auto"/>
        </w:lnSpc>
      </w:pPr>
      <w:r>
        <w:rPr>
          <w:rFonts w:ascii="Times New Roman" w:hAnsi="Times New Roman"/>
          <w:b w:val="0"/>
          <w:i w:val="0"/>
          <w:sz w:val="24"/>
        </w:rPr>
        <w:t xml:space="preserve">Looking forward, the most productive generalisation is </w:t>
      </w:r>
      <w:r>
        <w:rPr>
          <w:rFonts w:ascii="Times New Roman" w:hAnsi="Times New Roman"/>
          <w:b w:val="0"/>
          <w:i/>
          <w:sz w:val="24"/>
        </w:rPr>
        <w:t>weighted cosine similarity</w:t>
      </w:r>
      <w:r>
        <w:rPr>
          <w:rFonts w:ascii="Times New Roman" w:hAnsi="Times New Roman"/>
          <w:b w:val="0"/>
          <w:i w:val="0"/>
          <w:sz w:val="24"/>
        </w:rPr>
        <w:t>, in which each variable carries a coefficient reflecting the degree of scholarly consensus or doctrinal weight—drawn, for instance, from the gradations of ijmaʼ, mashhur, and shadhdh recognised in classical usul al-fiqh (Kamali, 2003: 244). Under such weighting, the score is no longer a function of mere cardinality; identical variable counts can yield different similarities depending on the theological gravity of the items involved. We therefore treat the present paper not as a closed measurement claim but as the opening move of a methodological programme whose next step is precisely this generalisation.</w:t>
      </w:r>
    </w:p>
    <w:p>
      <w:pPr>
        <w:spacing w:before="240" w:after="120"/>
        <w:lnSpc>
          <w:lnSpcVal w:line="360" w:lineRule="auto"/>
        </w:lnSpc>
      </w:pPr>
      <w:r>
        <w:rPr>
          <w:rFonts w:ascii="Times New Roman" w:hAnsi="Times New Roman"/>
          <w:b/>
          <w:sz w:val="24"/>
        </w:rPr>
        <w:t>O.</w:t>
        <w:tab/>
        <w:t>Conclusion</w:t>
      </w:r>
    </w:p>
    <w:p>
      <w:pPr>
        <w:spacing w:before="0" w:after="120"/>
        <w:jc w:val="both"/>
        <w:lnSpc>
          <w:lnSpcVal w:line="360" w:lineRule="auto"/>
        </w:lnSpc>
      </w:pPr>
      <w:r>
        <w:rPr>
          <w:rFonts w:ascii="Times New Roman" w:hAnsi="Times New Roman"/>
          <w:b w:val="0"/>
          <w:i w:val="0"/>
          <w:sz w:val="24"/>
        </w:rPr>
        <w:t>This article has demonstrated that cosine similarity applied to the binary representation of religious claims can serve as a valid epistemic scaffold in public theological discourse—provided it is understood and used within its proper limits. It is not a substitute for theological judgement, but a complement that offers something rarely present in religious discourse: transparency of premises, reproducibility of calculations, and accessibility of interpretation.</w:t>
      </w:r>
    </w:p>
    <w:p>
      <w:pPr>
        <w:spacing w:before="0" w:after="120"/>
        <w:ind w:firstLine="425"/>
        <w:jc w:val="both"/>
        <w:lnSpc>
          <w:lnSpcVal w:line="360" w:lineRule="auto"/>
        </w:lnSpc>
      </w:pPr>
      <w:r>
        <w:rPr>
          <w:rFonts w:ascii="Times New Roman" w:hAnsi="Times New Roman"/>
          <w:b w:val="0"/>
          <w:i w:val="0"/>
          <w:sz w:val="24"/>
        </w:rPr>
        <w:t>From the point of view of the philosophy of science, this article contributes to the understanding that mathematical formalisation can be applied to the non-scientific domain not to convert it into a science in the Popperian sense, but rather to borrow the structure of scientific transparency—the explicitness of assumptions, the verifiability of sources, the reproducibility of procedures—into a domain that requires it.</w:t>
      </w:r>
    </w:p>
    <w:p>
      <w:pPr>
        <w:spacing w:before="0" w:after="120"/>
        <w:ind w:firstLine="425"/>
        <w:jc w:val="both"/>
        <w:lnSpc>
          <w:lnSpcVal w:line="360" w:lineRule="auto"/>
        </w:lnSpc>
      </w:pPr>
      <w:r>
        <w:rPr>
          <w:rFonts w:ascii="Times New Roman" w:hAnsi="Times New Roman"/>
          <w:b w:val="0"/>
          <w:i w:val="0"/>
          <w:sz w:val="24"/>
        </w:rPr>
        <w:t>From the point of view of applied mathematics, this article shows that cosine similarity has uses that go beyond the domain of text computing. Its property of not counting zero-zero matches makes it an inherently precise tool for binary data with asymmetric meanings, such as the representation of doctrinal positions.</w:t>
      </w:r>
    </w:p>
    <w:p>
      <w:pPr>
        <w:spacing w:before="0" w:after="120"/>
        <w:ind w:firstLine="425"/>
        <w:jc w:val="both"/>
        <w:lnSpc>
          <w:lnSpcVal w:line="360" w:lineRule="auto"/>
        </w:lnSpc>
      </w:pPr>
      <w:r>
        <w:rPr>
          <w:rFonts w:ascii="Times New Roman" w:hAnsi="Times New Roman"/>
          <w:b w:val="0"/>
          <w:i w:val="0"/>
          <w:sz w:val="24"/>
        </w:rPr>
        <w:t>From the point of view of Islamic epistemology, this article shows that the spirit of jarh wa taʿdil—systematic assessment based on explicit criteria—can be continued with a different medium in the context of modern public discourse. Mathematics here is not a threat to the naql authority, but a form of operationalisation of ʻaql in the task of helping the public think more clearly.</w:t>
      </w:r>
    </w:p>
    <w:p>
      <w:pPr>
        <w:spacing w:before="0" w:after="120"/>
        <w:ind w:firstLine="425"/>
        <w:jc w:val="both"/>
        <w:lnSpc>
          <w:lnSpcVal w:line="360" w:lineRule="auto"/>
        </w:lnSpc>
      </w:pPr>
      <w:r>
        <w:rPr>
          <w:rFonts w:ascii="Times New Roman" w:hAnsi="Times New Roman"/>
          <w:b w:val="0"/>
          <w:i w:val="0"/>
          <w:sz w:val="24"/>
        </w:rPr>
        <w:t>Further research can expand this approach in several directions: (1) the development of variable weighting schemes based on scholarly consensus (weighted cosine similarity); (2) multicase comparisons to validate the usefulness of radial maps as a comparative instrument; and (3) a more in-depth epistemological study of the legitimacy of formalisation in classical and contemporary Islamic scientific traditions.</w:t>
      </w:r>
    </w:p>
    <w:p>
      <w:pPr>
        <w:spacing w:before="0" w:after="120"/>
        <w:ind w:firstLine="425"/>
        <w:jc w:val="both"/>
        <w:lnSpc>
          <w:lnSpcVal w:line="360" w:lineRule="auto"/>
        </w:lnSpc>
      </w:pPr>
      <w:r>
        <w:rPr>
          <w:rFonts w:ascii="Times New Roman" w:hAnsi="Times New Roman"/>
          <w:b w:val="0"/>
          <w:i w:val="0"/>
          <w:sz w:val="24"/>
        </w:rPr>
        <w:t>Most importantly, this article wants to emphasise that a good tool does not claim more than it can provide. Cosine similarity provides structure. The interpretation of that structure, and what decisions to make from it, remains the responsibility of human beings—especially those who have the scholarly depth to do so fairly.</w:t>
      </w:r>
    </w:p>
    <w:p>
      <w:pPr>
        <w:spacing w:before="240" w:after="120"/>
        <w:lnSpc>
          <w:lnSpcVal w:line="360" w:lineRule="auto"/>
        </w:lnSpc>
      </w:pPr>
      <w:r>
        <w:rPr>
          <w:rFonts w:ascii="Times New Roman" w:hAnsi="Times New Roman"/>
          <w:b/>
          <w:sz w:val="24"/>
        </w:rPr>
        <w:t>Bibliography</w:t>
      </w:r>
    </w:p>
    <w:p>
      <w:pPr>
        <w:spacing w:before="0" w:after="80"/>
        <w:ind w:left="567" w:hanging="567"/>
        <w:jc w:val="both"/>
        <w:lnSpc>
          <w:lnSpcVal w:line="360" w:lineRule="auto"/>
        </w:lnSpc>
      </w:pPr>
      <w:r>
        <w:rPr>
          <w:rFonts w:ascii="Times New Roman" w:hAnsi="Times New Roman"/>
          <w:sz w:val="22"/>
        </w:rPr>
        <w:t>Abdullah, M. Amin, Islamic Studies di Perguruan Tinggi: Pendekatan Integratif-Interkonektif, Pustaka Pelajar, Yogyakarta, 2006.</w:t>
      </w:r>
    </w:p>
    <w:p>
      <w:pPr>
        <w:spacing w:before="0" w:after="80"/>
        <w:ind w:left="567" w:hanging="567"/>
        <w:jc w:val="both"/>
        <w:lnSpc>
          <w:lnSpcVal w:line="360" w:lineRule="auto"/>
        </w:lnSpc>
      </w:pPr>
      <w:r>
        <w:rPr>
          <w:rFonts w:ascii="Times New Roman" w:hAnsi="Times New Roman"/>
          <w:sz w:val="22"/>
        </w:rPr>
        <w:t>Al-Attas, Syed Muhammad Naquib, Prolegomena to the Metaphysics of Islam: An Exposition of the Fundamental Elements of the Worldview of Islam, ISTAC, Kuala Lumpur, 1995.</w:t>
      </w:r>
    </w:p>
    <w:p>
      <w:pPr>
        <w:spacing w:before="0" w:after="80"/>
        <w:ind w:left="567" w:hanging="567"/>
        <w:jc w:val="both"/>
        <w:lnSpc>
          <w:lnSpcVal w:line="360" w:lineRule="auto"/>
        </w:lnSpc>
      </w:pPr>
      <w:r>
        <w:rPr>
          <w:rFonts w:ascii="Times New Roman" w:hAnsi="Times New Roman"/>
          <w:sz w:val="22"/>
        </w:rPr>
        <w:t>Al-Faruqi, Ismaʼil Raji, Islamisation of Knowledge: General Principles and Work Plan, International Institute of Islamic Thought, Washington D.C., 1982.</w:t>
      </w:r>
    </w:p>
    <w:p>
      <w:pPr>
        <w:spacing w:before="0" w:after="80"/>
        <w:ind w:left="567" w:hanging="567"/>
        <w:jc w:val="both"/>
        <w:lnSpc>
          <w:lnSpcVal w:line="360" w:lineRule="auto"/>
        </w:lnSpc>
      </w:pPr>
      <w:r>
        <w:rPr>
          <w:rFonts w:ascii="Times New Roman" w:hAnsi="Times New Roman"/>
          <w:sz w:val="22"/>
        </w:rPr>
        <w:t>Al-Jabiri, Mohammed Abed, Bunyat al-ʿAql al-ʿArabi: Dirasah Tahliliyyah Naqdiyyah li-Nuzum al-Maʿrifah fi al-Thaqafah al-ʿArabiyyah, Markaz Dirasat al-Wahdah al-ʿArabiyyah, Beirut, 1991.</w:t>
      </w:r>
    </w:p>
    <w:p>
      <w:pPr>
        <w:spacing w:before="0" w:after="80"/>
        <w:ind w:left="567" w:hanging="567"/>
        <w:jc w:val="both"/>
        <w:lnSpc>
          <w:lnSpcVal w:line="360" w:lineRule="auto"/>
        </w:lnSpc>
      </w:pPr>
      <w:r>
        <w:rPr>
          <w:rFonts w:ascii="Times New Roman" w:hAnsi="Times New Roman"/>
          <w:sz w:val="22"/>
        </w:rPr>
        <w:t>Brown, Jonathan A.C., Hadith: Muhammad’s Legacy in the Medieval and Modern World, Oneworld, Oxford, 2009.</w:t>
      </w:r>
    </w:p>
    <w:p>
      <w:pPr>
        <w:spacing w:before="0" w:after="80"/>
        <w:ind w:left="567" w:hanging="567"/>
        <w:jc w:val="both"/>
        <w:lnSpc>
          <w:lnSpcVal w:line="360" w:lineRule="auto"/>
        </w:lnSpc>
      </w:pPr>
      <w:r>
        <w:rPr>
          <w:rFonts w:ascii="Times New Roman" w:hAnsi="Times New Roman"/>
          <w:sz w:val="22"/>
        </w:rPr>
        <w:t>Bruinessen, Martin van (ed.), Contemporary Developments in Indonesian Islam: Explaining the ‘Conservative Turn,’ ISEAS, Singapore, 2013.</w:t>
      </w:r>
    </w:p>
    <w:p>
      <w:pPr>
        <w:spacing w:before="0" w:after="80"/>
        <w:ind w:left="567" w:hanging="567"/>
        <w:jc w:val="both"/>
        <w:lnSpc>
          <w:lnSpcVal w:line="360" w:lineRule="auto"/>
        </w:lnSpc>
      </w:pPr>
      <w:r>
        <w:rPr>
          <w:rFonts w:ascii="Times New Roman" w:hAnsi="Times New Roman"/>
          <w:sz w:val="22"/>
        </w:rPr>
        <w:t>Bunt, Gary R., Hashtag Islam: How Cyber-Islamic Environments Are Transforming Religious Authority, University of North Carolina Press, Chapel Hill, 2018.</w:t>
      </w:r>
    </w:p>
    <w:p>
      <w:pPr>
        <w:spacing w:before="0" w:after="80"/>
        <w:ind w:left="567" w:hanging="567"/>
        <w:jc w:val="both"/>
        <w:lnSpc>
          <w:lnSpcVal w:line="360" w:lineRule="auto"/>
        </w:lnSpc>
      </w:pPr>
      <w:r>
        <w:rPr>
          <w:rFonts w:ascii="Times New Roman" w:hAnsi="Times New Roman"/>
          <w:sz w:val="22"/>
        </w:rPr>
        <w:t>Creswell, John W., Research Design: Qualitative, Quantitative, and Mixed Methods Approaches, 4th ed., Sage Publications, Thousand Oaks, 2014.</w:t>
      </w:r>
    </w:p>
    <w:p>
      <w:pPr>
        <w:spacing w:before="0" w:after="80"/>
        <w:ind w:left="567" w:hanging="567"/>
        <w:jc w:val="both"/>
        <w:lnSpc>
          <w:lnSpcVal w:line="360" w:lineRule="auto"/>
        </w:lnSpc>
      </w:pPr>
      <w:r>
        <w:rPr>
          <w:rFonts w:ascii="Times New Roman" w:hAnsi="Times New Roman"/>
          <w:sz w:val="22"/>
        </w:rPr>
        <w:t>Flyvbjerg, Bent, ‘Five Misunderstandings About Case-Study Research’, Qualitative Inquiry, vol. 12, no. 2, 2006, pp. 219–245.</w:t>
      </w:r>
    </w:p>
    <w:p>
      <w:pPr>
        <w:spacing w:before="0" w:after="80"/>
        <w:ind w:left="567" w:hanging="567"/>
        <w:jc w:val="both"/>
        <w:lnSpc>
          <w:lnSpcVal w:line="360" w:lineRule="auto"/>
        </w:lnSpc>
      </w:pPr>
      <w:r>
        <w:rPr>
          <w:rFonts w:ascii="Times New Roman" w:hAnsi="Times New Roman"/>
          <w:sz w:val="22"/>
        </w:rPr>
        <w:t>Grimmer, Justin and Stewart, Brandon M., ‘Text as Data: The Promise and Pitfalls of Automatic Content Analysis Methods for Political Texts’, Political Analysis, vol. 21, no. 3, 2013, pp. 267–297.</w:t>
      </w:r>
    </w:p>
    <w:p>
      <w:pPr>
        <w:spacing w:before="0" w:after="80"/>
        <w:ind w:left="567" w:hanging="567"/>
        <w:jc w:val="both"/>
        <w:lnSpc>
          <w:lnSpcVal w:line="360" w:lineRule="auto"/>
        </w:lnSpc>
      </w:pPr>
      <w:r>
        <w:rPr>
          <w:rFonts w:ascii="Times New Roman" w:hAnsi="Times New Roman"/>
          <w:sz w:val="22"/>
        </w:rPr>
        <w:t>Gwet, Kilem L., Handbook of Inter-Rater Reliability, 4th ed., Advanced Analytics, Gaithersburg, 2014.</w:t>
      </w:r>
    </w:p>
    <w:p>
      <w:pPr>
        <w:spacing w:before="0" w:after="80"/>
        <w:ind w:left="567" w:hanging="567"/>
        <w:jc w:val="both"/>
        <w:lnSpc>
          <w:lnSpcVal w:line="360" w:lineRule="auto"/>
        </w:lnSpc>
      </w:pPr>
      <w:r>
        <w:rPr>
          <w:rFonts w:ascii="Times New Roman" w:hAnsi="Times New Roman"/>
          <w:sz w:val="22"/>
        </w:rPr>
        <w:t>Ha’iri Yazdi, Mehdi, The Principles of Epistemology in Islamic Philosophy: Knowledge by Presence, State University of New York Press, Albany, 1992.</w:t>
      </w:r>
    </w:p>
    <w:p>
      <w:pPr>
        <w:spacing w:before="0" w:after="80"/>
        <w:ind w:left="567" w:hanging="567"/>
        <w:jc w:val="both"/>
        <w:lnSpc>
          <w:lnSpcVal w:line="360" w:lineRule="auto"/>
        </w:lnSpc>
      </w:pPr>
      <w:r>
        <w:rPr>
          <w:rFonts w:ascii="Times New Roman" w:hAnsi="Times New Roman"/>
          <w:sz w:val="22"/>
        </w:rPr>
        <w:t>Habermas, Jürgen, The Theory of Communicative Action, vol. 1, Beacon Press, Boston, 1984.</w:t>
      </w:r>
    </w:p>
    <w:p>
      <w:pPr>
        <w:spacing w:before="0" w:after="80"/>
        <w:ind w:left="567" w:hanging="567"/>
        <w:jc w:val="both"/>
        <w:lnSpc>
          <w:lnSpcVal w:line="360" w:lineRule="auto"/>
        </w:lnSpc>
      </w:pPr>
      <w:r>
        <w:rPr>
          <w:rFonts w:ascii="Times New Roman" w:hAnsi="Times New Roman"/>
          <w:sz w:val="22"/>
        </w:rPr>
        <w:t>Hallaq, Wael B., Shariʼa: Theory, Practice, Transformations, Cambridge University Press, Cambridge, 2009.</w:t>
      </w:r>
    </w:p>
    <w:p>
      <w:pPr>
        <w:spacing w:before="0" w:after="80"/>
        <w:ind w:left="567" w:hanging="567"/>
        <w:jc w:val="both"/>
        <w:lnSpc>
          <w:lnSpcVal w:line="360" w:lineRule="auto"/>
        </w:lnSpc>
      </w:pPr>
      <w:r>
        <w:rPr>
          <w:rFonts w:ascii="Times New Roman" w:hAnsi="Times New Roman"/>
          <w:sz w:val="22"/>
        </w:rPr>
        <w:t>Hefner, Robert W., Civil Islam: Muslims and Democratization in Indonesia, Princeton University Press, Princeton, 2011.</w:t>
      </w:r>
    </w:p>
    <w:p>
      <w:pPr>
        <w:spacing w:before="0" w:after="80"/>
        <w:ind w:left="567" w:hanging="567"/>
        <w:jc w:val="both"/>
        <w:lnSpc>
          <w:lnSpcVal w:line="360" w:lineRule="auto"/>
        </w:lnSpc>
      </w:pPr>
      <w:r>
        <w:rPr>
          <w:rFonts w:ascii="Times New Roman" w:hAnsi="Times New Roman"/>
          <w:sz w:val="22"/>
        </w:rPr>
        <w:t>Ibn Hajar al-ʿAsqalani, Taqrib al-Tahdhib, ed. Muhammad ʿAwwama, Dar al-Rashid, Aleppo, 1986.</w:t>
      </w:r>
    </w:p>
    <w:p>
      <w:pPr>
        <w:spacing w:before="0" w:after="80"/>
        <w:ind w:left="567" w:hanging="567"/>
        <w:jc w:val="both"/>
        <w:lnSpc>
          <w:lnSpcVal w:line="360" w:lineRule="auto"/>
        </w:lnSpc>
      </w:pPr>
      <w:r>
        <w:rPr>
          <w:rFonts w:ascii="Times New Roman" w:hAnsi="Times New Roman"/>
          <w:sz w:val="22"/>
        </w:rPr>
        <w:t>Israel, Mark and Hay, Iain, Research Ethics for Social Scientists, Sage Publications, London, 2006.</w:t>
      </w:r>
    </w:p>
    <w:p>
      <w:pPr>
        <w:spacing w:before="0" w:after="80"/>
        <w:ind w:left="567" w:hanging="567"/>
        <w:jc w:val="both"/>
        <w:lnSpc>
          <w:lnSpcVal w:line="360" w:lineRule="auto"/>
        </w:lnSpc>
      </w:pPr>
      <w:r>
        <w:rPr>
          <w:rFonts w:ascii="Times New Roman" w:hAnsi="Times New Roman"/>
          <w:sz w:val="22"/>
        </w:rPr>
        <w:t>Kamali, Mohammad Hashim, Principles of Islamic Jurisprudence, 3rd ed., Islamic Texts Society, Cambridge, 2003.</w:t>
      </w:r>
    </w:p>
    <w:p>
      <w:pPr>
        <w:spacing w:before="0" w:after="80"/>
        <w:ind w:left="567" w:hanging="567"/>
        <w:jc w:val="both"/>
        <w:lnSpc>
          <w:lnSpcVal w:line="360" w:lineRule="auto"/>
        </w:lnSpc>
      </w:pPr>
      <w:r>
        <w:rPr>
          <w:rFonts w:ascii="Times New Roman" w:hAnsi="Times New Roman"/>
          <w:sz w:val="22"/>
        </w:rPr>
        <w:t>Kartanegara, Mulyadhi, Menyibak Tirai Kejahilan: Pengantar Epistemologi Islam, Mizan, Bandung, 2003.</w:t>
      </w:r>
    </w:p>
    <w:p>
      <w:pPr>
        <w:spacing w:before="0" w:after="80"/>
        <w:ind w:left="567" w:hanging="567"/>
        <w:jc w:val="both"/>
        <w:lnSpc>
          <w:lnSpcVal w:line="360" w:lineRule="auto"/>
        </w:lnSpc>
      </w:pPr>
      <w:r>
        <w:rPr>
          <w:rFonts w:ascii="Times New Roman" w:hAnsi="Times New Roman"/>
          <w:sz w:val="22"/>
        </w:rPr>
        <w:t>Kartanegara, Mulyadhi, Integrasi Ilmu: Sebuah Rekonstruksi Holistik, Arasy Mizan, Bandung, 2005.</w:t>
      </w:r>
    </w:p>
    <w:p>
      <w:pPr>
        <w:spacing w:before="0" w:after="80"/>
        <w:ind w:left="567" w:hanging="567"/>
        <w:jc w:val="both"/>
        <w:lnSpc>
          <w:lnSpcVal w:line="360" w:lineRule="auto"/>
        </w:lnSpc>
      </w:pPr>
      <w:r>
        <w:rPr>
          <w:rFonts w:ascii="Times New Roman" w:hAnsi="Times New Roman"/>
          <w:sz w:val="22"/>
        </w:rPr>
        <w:t>Kitcher, Philip, Science, Truth, and Democracy, Oxford University Press, Oxford, 2001.</w:t>
      </w:r>
    </w:p>
    <w:p>
      <w:pPr>
        <w:spacing w:before="0" w:after="80"/>
        <w:ind w:left="567" w:hanging="567"/>
        <w:jc w:val="both"/>
        <w:lnSpc>
          <w:lnSpcVal w:line="360" w:lineRule="auto"/>
        </w:lnSpc>
      </w:pPr>
      <w:r>
        <w:rPr>
          <w:rFonts w:ascii="Times New Roman" w:hAnsi="Times New Roman"/>
          <w:sz w:val="22"/>
        </w:rPr>
        <w:t>Krippendorff, Klaus, Content Analysis: An Introduction to Its Methodology, 2nd ed., Sage Publications, Thousand Oaks, 2004.</w:t>
      </w:r>
    </w:p>
    <w:p>
      <w:pPr>
        <w:spacing w:before="0" w:after="80"/>
        <w:ind w:left="567" w:hanging="567"/>
        <w:jc w:val="both"/>
        <w:lnSpc>
          <w:lnSpcVal w:line="360" w:lineRule="auto"/>
        </w:lnSpc>
      </w:pPr>
      <w:r>
        <w:rPr>
          <w:rFonts w:ascii="Times New Roman" w:hAnsi="Times New Roman"/>
          <w:sz w:val="22"/>
        </w:rPr>
        <w:t>Lakatos, Imre, The Methodology of Scientific Research Programmes: Philosophical Papers, vol. 1, ed. by John Worrall and Gregory Currie, Cambridge University Press, Cambridge, 1978.</w:t>
      </w:r>
    </w:p>
    <w:p>
      <w:pPr>
        <w:spacing w:before="0" w:after="80"/>
        <w:ind w:left="567" w:hanging="567"/>
        <w:jc w:val="both"/>
        <w:lnSpc>
          <w:lnSpcVal w:line="360" w:lineRule="auto"/>
        </w:lnSpc>
      </w:pPr>
      <w:r>
        <w:rPr>
          <w:rFonts w:ascii="Times New Roman" w:hAnsi="Times New Roman"/>
          <w:sz w:val="22"/>
        </w:rPr>
        <w:t>Leaman, Oliver, Averroes and His Philosophy, Psychology Press, London, 1998.</w:t>
      </w:r>
    </w:p>
    <w:p>
      <w:pPr>
        <w:spacing w:before="0" w:after="80"/>
        <w:ind w:left="567" w:hanging="567"/>
        <w:jc w:val="both"/>
        <w:lnSpc>
          <w:lnSpcVal w:line="360" w:lineRule="auto"/>
        </w:lnSpc>
      </w:pPr>
      <w:r>
        <w:rPr>
          <w:rFonts w:ascii="Times New Roman" w:hAnsi="Times New Roman"/>
          <w:sz w:val="22"/>
        </w:rPr>
        <w:t>Liu, Bing, Sentiment Analysis and Opinion Mining, Morgan &amp; Claypool Publishers, San Rafael, 2012.</w:t>
      </w:r>
    </w:p>
    <w:p>
      <w:pPr>
        <w:spacing w:before="0" w:after="80"/>
        <w:ind w:left="567" w:hanging="567"/>
        <w:jc w:val="both"/>
        <w:lnSpc>
          <w:lnSpcVal w:line="360" w:lineRule="auto"/>
        </w:lnSpc>
      </w:pPr>
      <w:r>
        <w:rPr>
          <w:rFonts w:ascii="Times New Roman" w:hAnsi="Times New Roman"/>
          <w:sz w:val="22"/>
        </w:rPr>
        <w:t>Longino, Helen E., The Fate of Knowledge, Princeton University Press, Princeton, 2002.</w:t>
      </w:r>
    </w:p>
    <w:p>
      <w:pPr>
        <w:spacing w:before="0" w:after="80"/>
        <w:ind w:left="567" w:hanging="567"/>
        <w:jc w:val="both"/>
        <w:lnSpc>
          <w:lnSpcVal w:line="360" w:lineRule="auto"/>
        </w:lnSpc>
      </w:pPr>
      <w:r>
        <w:rPr>
          <w:rFonts w:ascii="Times New Roman" w:hAnsi="Times New Roman"/>
          <w:sz w:val="22"/>
        </w:rPr>
        <w:t>Manning, Christopher D., Raghavan, Prabhakar, and Schütze, Hinrich, Introduction to Information Retrieval, Cambridge University Press, Cambridge, 2008.</w:t>
      </w:r>
    </w:p>
    <w:p>
      <w:pPr>
        <w:spacing w:before="0" w:after="80"/>
        <w:ind w:left="567" w:hanging="567"/>
        <w:jc w:val="both"/>
        <w:lnSpc>
          <w:lnSpcVal w:line="360" w:lineRule="auto"/>
        </w:lnSpc>
      </w:pPr>
      <w:r>
        <w:rPr>
          <w:rFonts w:ascii="Times New Roman" w:hAnsi="Times New Roman"/>
          <w:sz w:val="22"/>
        </w:rPr>
        <w:t>Nasr, Seyyed Hossein, Knowledge and the Sacred, State University of New York Press, Albany, 1989.</w:t>
      </w:r>
    </w:p>
    <w:p>
      <w:pPr>
        <w:spacing w:before="0" w:after="80"/>
        <w:ind w:left="567" w:hanging="567"/>
        <w:jc w:val="both"/>
        <w:lnSpc>
          <w:lnSpcVal w:line="360" w:lineRule="auto"/>
        </w:lnSpc>
      </w:pPr>
      <w:r>
        <w:rPr>
          <w:rFonts w:ascii="Times New Roman" w:hAnsi="Times New Roman"/>
          <w:sz w:val="22"/>
        </w:rPr>
        <w:t>Nasr, Seyyed Hossein, Religion and the Order of Nature, Oxford University Press, Oxford, 1996.</w:t>
      </w:r>
    </w:p>
    <w:p>
      <w:pPr>
        <w:spacing w:before="0" w:after="80"/>
        <w:ind w:left="567" w:hanging="567"/>
        <w:jc w:val="both"/>
        <w:lnSpc>
          <w:lnSpcVal w:line="360" w:lineRule="auto"/>
        </w:lnSpc>
      </w:pPr>
      <w:r>
        <w:rPr>
          <w:rFonts w:ascii="Times New Roman" w:hAnsi="Times New Roman"/>
          <w:sz w:val="22"/>
        </w:rPr>
        <w:t>Pennycook, Gordon, Cannon, Tyrone D., and Rand, David G., ‘Prior Exposure Increases Perceived Accuracy of Fake News’, Journal of Experimental Psychology: General, vol. 147, no. 12, 2018, pp. 1865–1880.</w:t>
      </w:r>
    </w:p>
    <w:p>
      <w:pPr>
        <w:spacing w:before="0" w:after="80"/>
        <w:ind w:left="567" w:hanging="567"/>
        <w:jc w:val="both"/>
        <w:lnSpc>
          <w:lnSpcVal w:line="360" w:lineRule="auto"/>
        </w:lnSpc>
      </w:pPr>
      <w:r>
        <w:rPr>
          <w:rFonts w:ascii="Times New Roman" w:hAnsi="Times New Roman"/>
          <w:sz w:val="22"/>
        </w:rPr>
        <w:t>Poole, Keith T. and Rosenthal, Howard, ‘A Spatial Model for Legislative Roll Call Analysis’, American Journal of Political Science, vol. 29, no. 2, 1985, pp. 357–384.</w:t>
      </w:r>
    </w:p>
    <w:p>
      <w:pPr>
        <w:spacing w:before="0" w:after="80"/>
        <w:ind w:left="567" w:hanging="567"/>
        <w:jc w:val="both"/>
        <w:lnSpc>
          <w:lnSpcVal w:line="360" w:lineRule="auto"/>
        </w:lnSpc>
      </w:pPr>
      <w:r>
        <w:rPr>
          <w:rFonts w:ascii="Times New Roman" w:hAnsi="Times New Roman"/>
          <w:sz w:val="22"/>
        </w:rPr>
        <w:t>Popper, Karl, The Logic of Scientific Discovery, Routledge, London, 2005.</w:t>
      </w:r>
    </w:p>
    <w:p>
      <w:pPr>
        <w:spacing w:before="0" w:after="80"/>
        <w:ind w:left="567" w:hanging="567"/>
        <w:jc w:val="both"/>
        <w:lnSpc>
          <w:lnSpcVal w:line="360" w:lineRule="auto"/>
        </w:lnSpc>
      </w:pPr>
      <w:r>
        <w:rPr>
          <w:rFonts w:ascii="Times New Roman" w:hAnsi="Times New Roman"/>
          <w:sz w:val="22"/>
        </w:rPr>
        <w:t>Quine, W.V., ‘Two Dogmas of Empiricism’, The Philosophical Review, vol. 60, no. 1, 1951, pp. 20–43.</w:t>
      </w:r>
    </w:p>
    <w:p>
      <w:pPr>
        <w:spacing w:before="0" w:after="80"/>
        <w:ind w:left="567" w:hanging="567"/>
        <w:jc w:val="both"/>
        <w:lnSpc>
          <w:lnSpcVal w:line="360" w:lineRule="auto"/>
        </w:lnSpc>
      </w:pPr>
      <w:r>
        <w:rPr>
          <w:rFonts w:ascii="Times New Roman" w:hAnsi="Times New Roman"/>
          <w:sz w:val="22"/>
        </w:rPr>
        <w:t>Rahman, Fazlur, Islam and Modernity: Transformation of an Intellectual Tradition, University of Chicago Press, Chicago, 1982.</w:t>
      </w:r>
    </w:p>
    <w:p>
      <w:pPr>
        <w:spacing w:before="0" w:after="80"/>
        <w:ind w:left="567" w:hanging="567"/>
        <w:jc w:val="both"/>
        <w:lnSpc>
          <w:lnSpcVal w:line="360" w:lineRule="auto"/>
        </w:lnSpc>
      </w:pPr>
      <w:r>
        <w:rPr>
          <w:rFonts w:ascii="Times New Roman" w:hAnsi="Times New Roman"/>
          <w:sz w:val="22"/>
        </w:rPr>
        <w:t>Salton, Gerard and Buckley, Christopher, ‘Term-Weighting Approaches in Automatic Text Retrieval’, Information Processing and Management, vol. 24, no. 5, 1988, pp. 513–523.</w:t>
      </w:r>
    </w:p>
    <w:p>
      <w:pPr>
        <w:spacing w:before="0" w:after="80"/>
        <w:ind w:left="567" w:hanging="567"/>
        <w:jc w:val="both"/>
        <w:lnSpc>
          <w:lnSpcVal w:line="360" w:lineRule="auto"/>
        </w:lnSpc>
      </w:pPr>
      <w:r>
        <w:rPr>
          <w:rFonts w:ascii="Times New Roman" w:hAnsi="Times New Roman"/>
          <w:sz w:val="22"/>
        </w:rPr>
        <w:t>Stiglitz, Joseph E., Sen, Amartya, and Fitoussi, Jean-Paul, Mismeasuring Our Lives: Why GDP Doesn’t Add Up, New Press, New York, 2010.</w:t>
      </w:r>
    </w:p>
    <w:p>
      <w:pPr>
        <w:spacing w:before="0" w:after="80"/>
        <w:ind w:left="567" w:hanging="567"/>
        <w:jc w:val="both"/>
        <w:lnSpc>
          <w:lnSpcVal w:line="360" w:lineRule="auto"/>
        </w:lnSpc>
      </w:pPr>
      <w:r>
        <w:rPr>
          <w:rFonts w:ascii="Times New Roman" w:hAnsi="Times New Roman"/>
          <w:sz w:val="22"/>
        </w:rPr>
        <w:t>Winter, Tim (ed.), The Cambridge Companion to Classical Islamic Theology, Cambridge University Press, Cambridge, 2008.</w:t>
      </w:r>
    </w:p>
    <w:p>
      <w:pPr>
        <w:spacing w:before="0" w:after="80"/>
        <w:ind w:left="567" w:hanging="567"/>
        <w:jc w:val="both"/>
        <w:lnSpc>
          <w:lnSpcVal w:line="360" w:lineRule="auto"/>
        </w:lnSpc>
      </w:pPr>
      <w:r>
        <w:rPr>
          <w:rFonts w:ascii="Times New Roman" w:hAnsi="Times New Roman"/>
          <w:sz w:val="22"/>
        </w:rPr>
        <w:t>Wittgenstein, Ludwig, Philosophical Investigations, ed. by P.M.S. Hacker and Joachim Schulte, Wiley-Blackwell, Chichester, 2010.</w:t>
      </w:r>
    </w:p>
    <w:p>
      <w:pPr>
        <w:spacing w:before="0" w:after="80"/>
        <w:ind w:left="567" w:hanging="567"/>
        <w:jc w:val="both"/>
        <w:lnSpc>
          <w:lnSpcVal w:line="360" w:lineRule="auto"/>
        </w:lnSpc>
      </w:pPr>
      <w:r>
        <w:rPr>
          <w:rFonts w:ascii="Times New Roman" w:hAnsi="Times New Roman"/>
          <w:sz w:val="22"/>
        </w:rPr>
        <w:t>Yin, Robert K., Case Study Research and Applications: Design and Methods, 6th ed., Sage Publications, Thousand Oaks, 2018.</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