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B738C" w14:textId="77777777" w:rsidR="00617C1F" w:rsidRDefault="00617C1F" w:rsidP="00617C1F">
      <w:pPr>
        <w:spacing w:after="0"/>
        <w:jc w:val="center"/>
        <w:rPr>
          <w:b/>
        </w:rPr>
      </w:pPr>
      <w:r w:rsidRPr="00617C1F">
        <w:rPr>
          <w:b/>
        </w:rPr>
        <w:t xml:space="preserve">ANXIETY AND FEAR-RELATED </w:t>
      </w:r>
      <w:r>
        <w:rPr>
          <w:b/>
        </w:rPr>
        <w:t>DISORDERS</w:t>
      </w:r>
    </w:p>
    <w:p w14:paraId="39CD19A7" w14:textId="25636A2A" w:rsidR="00617C1F" w:rsidRDefault="00617C1F" w:rsidP="00617C1F">
      <w:pPr>
        <w:jc w:val="center"/>
        <w:rPr>
          <w:b/>
        </w:rPr>
      </w:pPr>
      <w:r>
        <w:rPr>
          <w:b/>
        </w:rPr>
        <w:t>Internet-Based Field Study</w:t>
      </w:r>
    </w:p>
    <w:p w14:paraId="3F169626" w14:textId="4ADA884B" w:rsidR="00617C1F" w:rsidRPr="00617C1F" w:rsidRDefault="00617C1F" w:rsidP="00617C1F">
      <w:pPr>
        <w:jc w:val="center"/>
        <w:rPr>
          <w:b/>
        </w:rPr>
      </w:pPr>
      <w:r w:rsidRPr="00617C1F">
        <w:rPr>
          <w:b/>
        </w:rPr>
        <w:t>Vignette Descriptions and Instructions</w:t>
      </w:r>
    </w:p>
    <w:p w14:paraId="608AF44A" w14:textId="77777777" w:rsidR="00617C1F" w:rsidRPr="00A70B0F" w:rsidRDefault="00617C1F" w:rsidP="00617C1F">
      <w:r>
        <w:rPr>
          <w:b/>
          <w:i/>
          <w:lang w:val="fr-FR"/>
        </w:rPr>
        <w:t>Vignette 1</w:t>
      </w:r>
      <w:r w:rsidRPr="00A70B0F">
        <w:rPr>
          <w:b/>
          <w:lang w:val="fr-FR"/>
        </w:rPr>
        <w:t>.</w:t>
      </w:r>
      <w:r w:rsidRPr="00A70B0F">
        <w:rPr>
          <w:lang w:val="fr-FR"/>
        </w:rPr>
        <w:t xml:space="preserve"> </w:t>
      </w:r>
      <w:r w:rsidRPr="00A70B0F">
        <w:t xml:space="preserve">Vignette </w:t>
      </w:r>
      <w:r>
        <w:t>1 will describe a case of Generalized Anxiety Disorder. The case should meet the diagnostic requirements of ICD-</w:t>
      </w:r>
      <w:proofErr w:type="gramStart"/>
      <w:r>
        <w:t>11, but</w:t>
      </w:r>
      <w:proofErr w:type="gramEnd"/>
      <w:r>
        <w:t xml:space="preserve"> does not necessarily have to include every feature.</w:t>
      </w:r>
    </w:p>
    <w:p w14:paraId="4DCA9578" w14:textId="77777777" w:rsidR="00617C1F" w:rsidRPr="00A70B0F" w:rsidRDefault="00617C1F" w:rsidP="00617C1F">
      <w:pPr>
        <w:spacing w:after="360"/>
        <w:rPr>
          <w:i/>
        </w:rPr>
      </w:pPr>
      <w:r w:rsidRPr="00A70B0F">
        <w:rPr>
          <w:b/>
        </w:rPr>
        <w:t>CORRECT DIAGNOSIS:  ICD-10</w:t>
      </w:r>
      <w:r>
        <w:rPr>
          <w:b/>
        </w:rPr>
        <w:t xml:space="preserve"> &amp; ICD-11</w:t>
      </w:r>
      <w:r w:rsidRPr="00A70B0F">
        <w:rPr>
          <w:b/>
        </w:rPr>
        <w:t xml:space="preserve">: </w:t>
      </w:r>
      <w:r>
        <w:rPr>
          <w:b/>
        </w:rPr>
        <w:t>Generalized Anxiety Disorder</w:t>
      </w:r>
      <w:r w:rsidRPr="00A70B0F">
        <w:rPr>
          <w:b/>
        </w:rPr>
        <w:t xml:space="preserve"> </w:t>
      </w:r>
    </w:p>
    <w:p w14:paraId="6FD50D95" w14:textId="77777777" w:rsidR="00617C1F" w:rsidRPr="00A70B0F" w:rsidRDefault="00617C1F" w:rsidP="00617C1F">
      <w:r w:rsidRPr="00A70B0F">
        <w:rPr>
          <w:b/>
          <w:i/>
        </w:rPr>
        <w:t xml:space="preserve">Vignette </w:t>
      </w:r>
      <w:r>
        <w:rPr>
          <w:b/>
          <w:i/>
        </w:rPr>
        <w:t>2</w:t>
      </w:r>
      <w:r w:rsidRPr="00A70B0F">
        <w:rPr>
          <w:b/>
        </w:rPr>
        <w:t>.</w:t>
      </w:r>
      <w:r w:rsidRPr="00A70B0F">
        <w:t xml:space="preserve"> </w:t>
      </w:r>
      <w:r>
        <w:t xml:space="preserve">Vignette 2 will be a case of </w:t>
      </w:r>
      <w:proofErr w:type="gramStart"/>
      <w:r>
        <w:t>Panic Disorder</w:t>
      </w:r>
      <w:proofErr w:type="gramEnd"/>
      <w:r>
        <w:t>. It should meet all diagnostic requirements for ICD-11. Specifically, it should be clear that the individual’s panic attacks are unexpected (i.e., not clearly associated with a specific situation), and the individual’s primary concern is about future attacks.</w:t>
      </w:r>
    </w:p>
    <w:p w14:paraId="5B770A08" w14:textId="77777777" w:rsidR="00617C1F" w:rsidRPr="00A70B0F" w:rsidRDefault="00617C1F" w:rsidP="00617C1F">
      <w:pPr>
        <w:spacing w:after="360"/>
        <w:rPr>
          <w:b/>
        </w:rPr>
      </w:pPr>
      <w:r w:rsidRPr="00A70B0F">
        <w:rPr>
          <w:b/>
        </w:rPr>
        <w:t>CORRECT DIAGNOSIS:  ICD-10</w:t>
      </w:r>
      <w:r>
        <w:rPr>
          <w:b/>
        </w:rPr>
        <w:t xml:space="preserve"> &amp; ICD-11</w:t>
      </w:r>
      <w:r w:rsidRPr="00A70B0F">
        <w:rPr>
          <w:b/>
        </w:rPr>
        <w:t xml:space="preserve">: </w:t>
      </w:r>
      <w:r>
        <w:rPr>
          <w:b/>
        </w:rPr>
        <w:t>Panic Disorder</w:t>
      </w:r>
    </w:p>
    <w:p w14:paraId="00C8CD52" w14:textId="77777777" w:rsidR="00617C1F" w:rsidRPr="00A70B0F" w:rsidRDefault="00617C1F" w:rsidP="00617C1F">
      <w:r w:rsidRPr="00A70B0F">
        <w:rPr>
          <w:b/>
          <w:i/>
        </w:rPr>
        <w:t xml:space="preserve">Vignette </w:t>
      </w:r>
      <w:r>
        <w:rPr>
          <w:b/>
          <w:i/>
        </w:rPr>
        <w:t>3A</w:t>
      </w:r>
      <w:r w:rsidRPr="00A70B0F">
        <w:rPr>
          <w:b/>
        </w:rPr>
        <w:t>.</w:t>
      </w:r>
      <w:r w:rsidRPr="00A70B0F">
        <w:t xml:space="preserve"> </w:t>
      </w:r>
      <w:r>
        <w:t xml:space="preserve">Vignette 3A will be a case of pure Agoraphobia. The individual will express fear of multiple public situations because of an inability to escape from the situation. The person should fear some dangerous </w:t>
      </w:r>
      <w:proofErr w:type="gramStart"/>
      <w:r>
        <w:t>outcome, but</w:t>
      </w:r>
      <w:proofErr w:type="gramEnd"/>
      <w:r>
        <w:t xml:space="preserve"> should not have any associated panic attacks.</w:t>
      </w:r>
      <w:r w:rsidRPr="00A70B0F">
        <w:t xml:space="preserve"> </w:t>
      </w:r>
    </w:p>
    <w:p w14:paraId="3279724B" w14:textId="77777777" w:rsidR="00617C1F" w:rsidRPr="00617C1F" w:rsidRDefault="00617C1F" w:rsidP="00617C1F">
      <w:pPr>
        <w:spacing w:after="360"/>
        <w:rPr>
          <w:b/>
          <w:lang w:val="fr-FR"/>
        </w:rPr>
      </w:pPr>
      <w:r w:rsidRPr="00617C1F">
        <w:rPr>
          <w:b/>
          <w:lang w:val="fr-FR"/>
        </w:rPr>
        <w:t xml:space="preserve">CORRECT </w:t>
      </w:r>
      <w:proofErr w:type="gramStart"/>
      <w:r w:rsidRPr="00617C1F">
        <w:rPr>
          <w:b/>
          <w:lang w:val="fr-FR"/>
        </w:rPr>
        <w:t>DIAGNOSIS:</w:t>
      </w:r>
      <w:proofErr w:type="gramEnd"/>
      <w:r w:rsidRPr="00617C1F">
        <w:rPr>
          <w:b/>
          <w:lang w:val="fr-FR"/>
        </w:rPr>
        <w:t xml:space="preserve">  ICD-10 &amp; ICD-11: </w:t>
      </w:r>
      <w:proofErr w:type="spellStart"/>
      <w:r w:rsidRPr="00617C1F">
        <w:rPr>
          <w:b/>
          <w:lang w:val="fr-FR"/>
        </w:rPr>
        <w:t>Agoraphobia</w:t>
      </w:r>
      <w:proofErr w:type="spellEnd"/>
    </w:p>
    <w:p w14:paraId="7822873A" w14:textId="77777777" w:rsidR="00617C1F" w:rsidRPr="00A70B0F" w:rsidRDefault="00617C1F" w:rsidP="00617C1F">
      <w:r w:rsidRPr="00617C1F">
        <w:rPr>
          <w:b/>
          <w:i/>
          <w:lang w:val="fr-FR"/>
        </w:rPr>
        <w:t>Vignette 3B</w:t>
      </w:r>
      <w:r w:rsidRPr="00617C1F">
        <w:rPr>
          <w:b/>
          <w:lang w:val="fr-FR"/>
        </w:rPr>
        <w:t>.</w:t>
      </w:r>
      <w:r w:rsidRPr="00617C1F">
        <w:rPr>
          <w:lang w:val="fr-FR"/>
        </w:rPr>
        <w:t xml:space="preserve"> </w:t>
      </w:r>
      <w:r>
        <w:t xml:space="preserve">Vignette 3B will be a case of Agoraphobia with associated panic attacks. The individual’s fear of social situations will include fear of having a panic attack in those situations. However, it should be clear that the individual does not meet diagnostic guidelines for </w:t>
      </w:r>
      <w:proofErr w:type="gramStart"/>
      <w:r>
        <w:t>Panic Disorder</w:t>
      </w:r>
      <w:proofErr w:type="gramEnd"/>
      <w:r>
        <w:t>, because the attacks are situationally cued and the person’s anxiety is focused on escape from situations and the possibility that no one will be able to help them if they experience symptoms rather than on having a panic attack and concern about the dangerousness of the attendant symptoms.</w:t>
      </w:r>
    </w:p>
    <w:p w14:paraId="5FAABB8F" w14:textId="77777777" w:rsidR="00617C1F" w:rsidRPr="00617C1F" w:rsidRDefault="00617C1F" w:rsidP="00617C1F">
      <w:pPr>
        <w:spacing w:after="360"/>
        <w:rPr>
          <w:b/>
          <w:lang w:val="fr-FR"/>
        </w:rPr>
      </w:pPr>
      <w:r w:rsidRPr="00617C1F">
        <w:rPr>
          <w:b/>
          <w:lang w:val="fr-FR"/>
        </w:rPr>
        <w:t xml:space="preserve">CORRECT </w:t>
      </w:r>
      <w:proofErr w:type="gramStart"/>
      <w:r w:rsidRPr="00617C1F">
        <w:rPr>
          <w:b/>
          <w:lang w:val="fr-FR"/>
        </w:rPr>
        <w:t>DIAGNOSIS:</w:t>
      </w:r>
      <w:proofErr w:type="gramEnd"/>
      <w:r w:rsidRPr="00617C1F">
        <w:rPr>
          <w:b/>
          <w:lang w:val="fr-FR"/>
        </w:rPr>
        <w:t xml:space="preserve">  ICD-10 &amp; ICD-11: </w:t>
      </w:r>
      <w:proofErr w:type="spellStart"/>
      <w:r w:rsidRPr="00617C1F">
        <w:rPr>
          <w:b/>
          <w:lang w:val="fr-FR"/>
        </w:rPr>
        <w:t>Agoraphobia</w:t>
      </w:r>
      <w:proofErr w:type="spellEnd"/>
    </w:p>
    <w:p w14:paraId="33EA4C5E" w14:textId="77777777" w:rsidR="00617C1F" w:rsidRPr="00A70B0F" w:rsidRDefault="00617C1F" w:rsidP="00617C1F">
      <w:r w:rsidRPr="00617C1F">
        <w:rPr>
          <w:b/>
          <w:i/>
          <w:lang w:val="fr-FR"/>
        </w:rPr>
        <w:t>Vignette 4</w:t>
      </w:r>
      <w:r w:rsidRPr="00617C1F">
        <w:rPr>
          <w:b/>
          <w:lang w:val="fr-FR"/>
        </w:rPr>
        <w:t>.</w:t>
      </w:r>
      <w:r w:rsidRPr="00617C1F">
        <w:rPr>
          <w:lang w:val="fr-FR"/>
        </w:rPr>
        <w:t xml:space="preserve"> </w:t>
      </w:r>
      <w:r>
        <w:t xml:space="preserve">Vignette 4 will be a case of Specific Phobia that meets all ICD-11 diagnostic guidelines. The specific focus of the phobia does not </w:t>
      </w:r>
      <w:proofErr w:type="gramStart"/>
      <w:r>
        <w:t>matter, but</w:t>
      </w:r>
      <w:proofErr w:type="gramEnd"/>
      <w:r>
        <w:t xml:space="preserve"> should represent a common fear that occurs in most cultures. Avoid blood-injection phobia because of possible confusion with other medical conditions.</w:t>
      </w:r>
    </w:p>
    <w:p w14:paraId="3E808FCF" w14:textId="77777777" w:rsidR="00617C1F" w:rsidRPr="00A70B0F" w:rsidRDefault="00617C1F" w:rsidP="00617C1F">
      <w:pPr>
        <w:spacing w:after="360"/>
        <w:rPr>
          <w:b/>
        </w:rPr>
      </w:pPr>
      <w:r w:rsidRPr="00A70B0F">
        <w:rPr>
          <w:b/>
        </w:rPr>
        <w:t>CORRECT DIAGNOSIS:  ICD-10</w:t>
      </w:r>
      <w:r>
        <w:rPr>
          <w:b/>
        </w:rPr>
        <w:t xml:space="preserve"> &amp; ICD-11</w:t>
      </w:r>
      <w:r w:rsidRPr="00A70B0F">
        <w:rPr>
          <w:b/>
        </w:rPr>
        <w:t xml:space="preserve">: </w:t>
      </w:r>
      <w:r>
        <w:rPr>
          <w:b/>
        </w:rPr>
        <w:t>Specific Phobia</w:t>
      </w:r>
    </w:p>
    <w:p w14:paraId="6519D3FC" w14:textId="77777777" w:rsidR="00617C1F" w:rsidRPr="00A70B0F" w:rsidRDefault="00617C1F" w:rsidP="00617C1F">
      <w:r w:rsidRPr="00A70B0F">
        <w:rPr>
          <w:b/>
          <w:i/>
        </w:rPr>
        <w:t xml:space="preserve">Vignette </w:t>
      </w:r>
      <w:r>
        <w:rPr>
          <w:b/>
          <w:i/>
        </w:rPr>
        <w:t>5A</w:t>
      </w:r>
      <w:r w:rsidRPr="00A70B0F">
        <w:rPr>
          <w:b/>
        </w:rPr>
        <w:t>.</w:t>
      </w:r>
      <w:r w:rsidRPr="00A70B0F">
        <w:t xml:space="preserve"> </w:t>
      </w:r>
      <w:r>
        <w:t>Vignette 5A will be a case of pure Social Anxiety Disorder. The individual will meet all ICD-11 diagnostic guidelines, but there should be no mention of the person’s anxiety reaching the level of a panic attack.</w:t>
      </w:r>
    </w:p>
    <w:p w14:paraId="2AE657F2" w14:textId="77777777" w:rsidR="00617C1F" w:rsidRDefault="00617C1F" w:rsidP="00617C1F">
      <w:pPr>
        <w:spacing w:after="360"/>
        <w:rPr>
          <w:b/>
        </w:rPr>
      </w:pPr>
      <w:r w:rsidRPr="00A70B0F">
        <w:rPr>
          <w:b/>
        </w:rPr>
        <w:t xml:space="preserve">CORRECT DIAGNOSIS:  ICD-10: </w:t>
      </w:r>
      <w:r>
        <w:rPr>
          <w:b/>
        </w:rPr>
        <w:t>Social Phobia;</w:t>
      </w:r>
      <w:r w:rsidRPr="00E42FC8">
        <w:rPr>
          <w:b/>
        </w:rPr>
        <w:t xml:space="preserve"> </w:t>
      </w:r>
      <w:r w:rsidRPr="00A70B0F">
        <w:rPr>
          <w:b/>
        </w:rPr>
        <w:t xml:space="preserve">ICD-11: </w:t>
      </w:r>
      <w:r>
        <w:rPr>
          <w:b/>
        </w:rPr>
        <w:t>Social Anxiety Disorder</w:t>
      </w:r>
    </w:p>
    <w:p w14:paraId="61C899E2" w14:textId="77777777" w:rsidR="00617C1F" w:rsidRDefault="00617C1F" w:rsidP="00617C1F">
      <w:pPr>
        <w:spacing w:after="360"/>
      </w:pPr>
      <w:r w:rsidRPr="00BD7B33">
        <w:rPr>
          <w:b/>
          <w:i/>
        </w:rPr>
        <w:lastRenderedPageBreak/>
        <w:t xml:space="preserve">Vignette </w:t>
      </w:r>
      <w:r>
        <w:rPr>
          <w:b/>
          <w:i/>
        </w:rPr>
        <w:t>5B</w:t>
      </w:r>
      <w:r>
        <w:rPr>
          <w:b/>
        </w:rPr>
        <w:t xml:space="preserve">. </w:t>
      </w:r>
      <w:r>
        <w:t>Vignette 5B will be a case of Social Anxiety Disorder that also displays regular panic attacks in or in anticipation of social evaluative situations. It should be clear that the panic attacks are always situationally cued, and thus are not unexpected. There is no focus of concern on the panic per se, the person’s anxiety is focused on the evaluative nature of the situation, such that people might notice the symptoms of anxiety and judge the person negatively on that basis.</w:t>
      </w:r>
    </w:p>
    <w:p w14:paraId="67C44B11" w14:textId="77777777" w:rsidR="00617C1F" w:rsidRPr="00A70B0F" w:rsidRDefault="00617C1F" w:rsidP="00617C1F">
      <w:pPr>
        <w:spacing w:after="360"/>
        <w:rPr>
          <w:b/>
        </w:rPr>
      </w:pPr>
      <w:r w:rsidRPr="00A70B0F">
        <w:rPr>
          <w:b/>
        </w:rPr>
        <w:t xml:space="preserve">CORRECT DIAGNOSIS:  ICD-10: </w:t>
      </w:r>
      <w:r>
        <w:rPr>
          <w:b/>
        </w:rPr>
        <w:t>Social Phobia;</w:t>
      </w:r>
      <w:r w:rsidRPr="00E42FC8">
        <w:rPr>
          <w:b/>
        </w:rPr>
        <w:t xml:space="preserve"> </w:t>
      </w:r>
      <w:r w:rsidRPr="00A70B0F">
        <w:rPr>
          <w:b/>
        </w:rPr>
        <w:t xml:space="preserve">ICD-11: </w:t>
      </w:r>
      <w:r>
        <w:rPr>
          <w:b/>
        </w:rPr>
        <w:t>Social Anxiety Disorder</w:t>
      </w:r>
    </w:p>
    <w:p w14:paraId="7080AE74" w14:textId="77777777" w:rsidR="00617C1F" w:rsidRPr="00A70B0F" w:rsidRDefault="00617C1F" w:rsidP="00617C1F">
      <w:r w:rsidRPr="00A70B0F">
        <w:rPr>
          <w:b/>
          <w:i/>
        </w:rPr>
        <w:t xml:space="preserve">Vignette </w:t>
      </w:r>
      <w:r>
        <w:rPr>
          <w:b/>
          <w:i/>
        </w:rPr>
        <w:t>6A</w:t>
      </w:r>
      <w:r w:rsidRPr="00A70B0F">
        <w:rPr>
          <w:b/>
        </w:rPr>
        <w:t>.</w:t>
      </w:r>
      <w:r w:rsidRPr="00A70B0F">
        <w:t xml:space="preserve"> </w:t>
      </w:r>
      <w:r>
        <w:t>Vignette 6A will be a child case of Separation Anxiety Disorder. The age of the individual should be a child young enough to be representative of individuals with the disorder, but old enough that in most cultures that level of separation anxiety would be considered abnormal.</w:t>
      </w:r>
    </w:p>
    <w:p w14:paraId="13B18BD5" w14:textId="77777777" w:rsidR="00617C1F" w:rsidRDefault="00617C1F" w:rsidP="00617C1F">
      <w:pPr>
        <w:spacing w:after="360"/>
        <w:rPr>
          <w:b/>
        </w:rPr>
      </w:pPr>
      <w:r w:rsidRPr="00A70B0F">
        <w:rPr>
          <w:b/>
        </w:rPr>
        <w:t>CORRECT DIAGNOSIS:  ICD-10</w:t>
      </w:r>
      <w:r>
        <w:rPr>
          <w:b/>
        </w:rPr>
        <w:t>: Separation Anxiety Disorder of Childhood; ICD-11</w:t>
      </w:r>
      <w:r w:rsidRPr="00A70B0F">
        <w:rPr>
          <w:b/>
        </w:rPr>
        <w:t xml:space="preserve">: </w:t>
      </w:r>
      <w:r>
        <w:rPr>
          <w:b/>
        </w:rPr>
        <w:t>Separation Anxiety Disorder</w:t>
      </w:r>
    </w:p>
    <w:p w14:paraId="1D4E2F3E" w14:textId="77777777" w:rsidR="00617C1F" w:rsidRDefault="00617C1F" w:rsidP="00617C1F">
      <w:r>
        <w:rPr>
          <w:b/>
          <w:i/>
        </w:rPr>
        <w:t xml:space="preserve">Vignette 6B. </w:t>
      </w:r>
      <w:r>
        <w:t>Vignette 6B will be an adult case of Separation Anxiety Disorder. The person should express the separation anxiety regarding a developmentally appropriate relationship (e.g., a romantic partner). Otherwise, the symptoms presented in the case should be similar in number and severity to 6A. The person should not satisfy the diagnostic requirements for Dependent Personality Disorder in ICD-10.</w:t>
      </w:r>
    </w:p>
    <w:p w14:paraId="5B770E3A" w14:textId="77777777" w:rsidR="00617C1F" w:rsidRPr="00AB6393" w:rsidRDefault="00617C1F" w:rsidP="00617C1F">
      <w:pPr>
        <w:spacing w:after="360"/>
        <w:rPr>
          <w:b/>
        </w:rPr>
      </w:pPr>
      <w:r>
        <w:rPr>
          <w:b/>
        </w:rPr>
        <w:t>CORRECT DIAGNOSIS: ICD-10: Other Anxiety Disorder, Unspecified Anxiety Disorder; ICD-11: Separation Anxiety Disorder</w:t>
      </w:r>
    </w:p>
    <w:p w14:paraId="0169A376" w14:textId="77777777" w:rsidR="00617C1F" w:rsidRDefault="00617C1F" w:rsidP="00617C1F"/>
    <w:p w14:paraId="15CA869E" w14:textId="77777777" w:rsidR="005E3996" w:rsidRDefault="005E3996"/>
    <w:sectPr w:rsidR="005E3996" w:rsidSect="00BF0109">
      <w:headerReference w:type="even" r:id="rId4"/>
      <w:headerReference w:type="default" r:id="rId5"/>
      <w:pgSz w:w="12240" w:h="15840"/>
      <w:pgMar w:top="1440" w:right="1440" w:bottom="1440" w:left="1440" w:header="720" w:footer="720" w:gutter="0"/>
      <w:cols w:space="720"/>
      <w:titlePg/>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097EB" w14:textId="77777777" w:rsidR="00000000" w:rsidRDefault="00000000" w:rsidP="00BF010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DC0F91A" w14:textId="77777777" w:rsidR="00000000" w:rsidRDefault="00000000" w:rsidP="00BF010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2D2AF" w14:textId="77777777" w:rsidR="00000000" w:rsidRDefault="00000000" w:rsidP="00BF010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4B5934CD" w14:textId="77777777" w:rsidR="00000000" w:rsidRPr="0075351E" w:rsidRDefault="00000000" w:rsidP="00BF0109">
    <w:pPr>
      <w:pStyle w:val="Header"/>
      <w:ind w:right="360"/>
      <w:jc w:val="right"/>
    </w:pPr>
    <w:r w:rsidRPr="0075351E">
      <w:t xml:space="preserve">Electronic Field Trial for </w:t>
    </w:r>
    <w:r>
      <w:t>Mood Disorders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C1F"/>
    <w:rsid w:val="005E3996"/>
    <w:rsid w:val="00617C1F"/>
    <w:rsid w:val="009722D4"/>
    <w:rsid w:val="00BE2C2A"/>
    <w:rsid w:val="00C61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A669CB"/>
  <w15:chartTrackingRefBased/>
  <w15:docId w15:val="{BDACDFA2-18FD-BD4D-99D7-FB5C58EE1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C1F"/>
    <w:pPr>
      <w:spacing w:after="200" w:line="276" w:lineRule="auto"/>
    </w:pPr>
    <w:rPr>
      <w:rFonts w:ascii="Calibri" w:eastAsia="Calibri" w:hAnsi="Calibri" w:cs="Times New Roman"/>
      <w:sz w:val="22"/>
      <w:szCs w:val="22"/>
    </w:rPr>
  </w:style>
  <w:style w:type="paragraph" w:styleId="Heading1">
    <w:name w:val="heading 1"/>
    <w:basedOn w:val="Normal"/>
    <w:next w:val="Normal"/>
    <w:link w:val="Heading1Char"/>
    <w:uiPriority w:val="9"/>
    <w:qFormat/>
    <w:rsid w:val="00617C1F"/>
    <w:pPr>
      <w:keepNext/>
      <w:keepLines/>
      <w:spacing w:before="360" w:after="80" w:line="240"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7C1F"/>
    <w:pPr>
      <w:keepNext/>
      <w:keepLines/>
      <w:spacing w:before="160" w:after="8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7C1F"/>
    <w:pPr>
      <w:keepNext/>
      <w:keepLines/>
      <w:spacing w:before="160" w:after="80" w:line="240" w:lineRule="auto"/>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7C1F"/>
    <w:pPr>
      <w:keepNext/>
      <w:keepLines/>
      <w:spacing w:before="80" w:after="40" w:line="240" w:lineRule="auto"/>
      <w:outlineLvl w:val="3"/>
    </w:pPr>
    <w:rPr>
      <w:rFonts w:asciiTheme="minorHAnsi" w:eastAsiaTheme="majorEastAsia" w:hAnsiTheme="minorHAnsi"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617C1F"/>
    <w:pPr>
      <w:keepNext/>
      <w:keepLines/>
      <w:spacing w:before="80" w:after="40" w:line="240" w:lineRule="auto"/>
      <w:outlineLvl w:val="4"/>
    </w:pPr>
    <w:rPr>
      <w:rFonts w:asciiTheme="minorHAnsi" w:eastAsiaTheme="majorEastAsia" w:hAnsiTheme="minorHAnsi"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617C1F"/>
    <w:pPr>
      <w:keepNext/>
      <w:keepLines/>
      <w:spacing w:before="40" w:after="0" w:line="240" w:lineRule="auto"/>
      <w:outlineLvl w:val="5"/>
    </w:pPr>
    <w:rPr>
      <w:rFonts w:asciiTheme="minorHAnsi" w:eastAsiaTheme="majorEastAsia" w:hAnsiTheme="minorHAnsi"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617C1F"/>
    <w:pPr>
      <w:keepNext/>
      <w:keepLines/>
      <w:spacing w:before="40" w:after="0" w:line="240" w:lineRule="auto"/>
      <w:outlineLvl w:val="6"/>
    </w:pPr>
    <w:rPr>
      <w:rFonts w:asciiTheme="minorHAnsi" w:eastAsiaTheme="majorEastAsia" w:hAnsiTheme="min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617C1F"/>
    <w:pPr>
      <w:keepNext/>
      <w:keepLines/>
      <w:spacing w:after="0" w:line="240" w:lineRule="auto"/>
      <w:outlineLvl w:val="7"/>
    </w:pPr>
    <w:rPr>
      <w:rFonts w:asciiTheme="minorHAnsi" w:eastAsiaTheme="majorEastAsia" w:hAnsiTheme="minorHAnsi"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617C1F"/>
    <w:pPr>
      <w:keepNext/>
      <w:keepLines/>
      <w:spacing w:after="0" w:line="240" w:lineRule="auto"/>
      <w:outlineLvl w:val="8"/>
    </w:pPr>
    <w:rPr>
      <w:rFonts w:asciiTheme="minorHAnsi" w:eastAsiaTheme="majorEastAsia" w:hAnsiTheme="minorHAnsi"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C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7C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7C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7C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7C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7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C1F"/>
    <w:rPr>
      <w:rFonts w:eastAsiaTheme="majorEastAsia" w:cstheme="majorBidi"/>
      <w:color w:val="272727" w:themeColor="text1" w:themeTint="D8"/>
    </w:rPr>
  </w:style>
  <w:style w:type="paragraph" w:styleId="Title">
    <w:name w:val="Title"/>
    <w:basedOn w:val="Normal"/>
    <w:next w:val="Normal"/>
    <w:link w:val="TitleChar"/>
    <w:uiPriority w:val="10"/>
    <w:qFormat/>
    <w:rsid w:val="00617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C1F"/>
    <w:pPr>
      <w:numPr>
        <w:ilvl w:val="1"/>
      </w:numPr>
      <w:spacing w:after="160" w:line="240"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C1F"/>
    <w:pPr>
      <w:spacing w:before="160" w:after="160" w:line="240" w:lineRule="auto"/>
      <w:jc w:val="center"/>
    </w:pPr>
    <w:rPr>
      <w:rFonts w:asciiTheme="minorHAnsi" w:eastAsiaTheme="minorHAnsi" w:hAnsiTheme="minorHAnsi" w:cstheme="minorBidi"/>
      <w:i/>
      <w:iCs/>
      <w:color w:val="404040" w:themeColor="text1" w:themeTint="BF"/>
      <w:sz w:val="24"/>
      <w:szCs w:val="24"/>
    </w:rPr>
  </w:style>
  <w:style w:type="character" w:customStyle="1" w:styleId="QuoteChar">
    <w:name w:val="Quote Char"/>
    <w:basedOn w:val="DefaultParagraphFont"/>
    <w:link w:val="Quote"/>
    <w:uiPriority w:val="29"/>
    <w:rsid w:val="00617C1F"/>
    <w:rPr>
      <w:i/>
      <w:iCs/>
      <w:color w:val="404040" w:themeColor="text1" w:themeTint="BF"/>
    </w:rPr>
  </w:style>
  <w:style w:type="paragraph" w:styleId="ListParagraph">
    <w:name w:val="List Paragraph"/>
    <w:basedOn w:val="Normal"/>
    <w:uiPriority w:val="34"/>
    <w:qFormat/>
    <w:rsid w:val="00617C1F"/>
    <w:pPr>
      <w:spacing w:after="0" w:line="240" w:lineRule="auto"/>
      <w:ind w:left="720"/>
      <w:contextualSpacing/>
    </w:pPr>
    <w:rPr>
      <w:rFonts w:asciiTheme="minorHAnsi" w:eastAsiaTheme="minorHAnsi" w:hAnsiTheme="minorHAnsi" w:cstheme="minorBidi"/>
      <w:sz w:val="24"/>
      <w:szCs w:val="24"/>
    </w:rPr>
  </w:style>
  <w:style w:type="character" w:styleId="IntenseEmphasis">
    <w:name w:val="Intense Emphasis"/>
    <w:basedOn w:val="DefaultParagraphFont"/>
    <w:uiPriority w:val="21"/>
    <w:qFormat/>
    <w:rsid w:val="00617C1F"/>
    <w:rPr>
      <w:i/>
      <w:iCs/>
      <w:color w:val="2F5496" w:themeColor="accent1" w:themeShade="BF"/>
    </w:rPr>
  </w:style>
  <w:style w:type="paragraph" w:styleId="IntenseQuote">
    <w:name w:val="Intense Quote"/>
    <w:basedOn w:val="Normal"/>
    <w:next w:val="Normal"/>
    <w:link w:val="IntenseQuoteChar"/>
    <w:uiPriority w:val="30"/>
    <w:qFormat/>
    <w:rsid w:val="00617C1F"/>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heme="minorHAnsi" w:eastAsiaTheme="minorHAnsi" w:hAnsiTheme="minorHAnsi" w:cstheme="minorBidi"/>
      <w:i/>
      <w:iCs/>
      <w:color w:val="2F5496" w:themeColor="accent1" w:themeShade="BF"/>
      <w:sz w:val="24"/>
      <w:szCs w:val="24"/>
    </w:rPr>
  </w:style>
  <w:style w:type="character" w:customStyle="1" w:styleId="IntenseQuoteChar">
    <w:name w:val="Intense Quote Char"/>
    <w:basedOn w:val="DefaultParagraphFont"/>
    <w:link w:val="IntenseQuote"/>
    <w:uiPriority w:val="30"/>
    <w:rsid w:val="00617C1F"/>
    <w:rPr>
      <w:i/>
      <w:iCs/>
      <w:color w:val="2F5496" w:themeColor="accent1" w:themeShade="BF"/>
    </w:rPr>
  </w:style>
  <w:style w:type="character" w:styleId="IntenseReference">
    <w:name w:val="Intense Reference"/>
    <w:basedOn w:val="DefaultParagraphFont"/>
    <w:uiPriority w:val="32"/>
    <w:qFormat/>
    <w:rsid w:val="00617C1F"/>
    <w:rPr>
      <w:b/>
      <w:bCs/>
      <w:smallCaps/>
      <w:color w:val="2F5496" w:themeColor="accent1" w:themeShade="BF"/>
      <w:spacing w:val="5"/>
    </w:rPr>
  </w:style>
  <w:style w:type="paragraph" w:styleId="Header">
    <w:name w:val="header"/>
    <w:basedOn w:val="Normal"/>
    <w:link w:val="HeaderChar"/>
    <w:uiPriority w:val="99"/>
    <w:rsid w:val="00617C1F"/>
    <w:pPr>
      <w:tabs>
        <w:tab w:val="center" w:pos="4320"/>
        <w:tab w:val="right" w:pos="8640"/>
      </w:tabs>
    </w:pPr>
    <w:rPr>
      <w:sz w:val="20"/>
      <w:szCs w:val="20"/>
      <w:lang w:eastAsia="ja-JP"/>
    </w:rPr>
  </w:style>
  <w:style w:type="character" w:customStyle="1" w:styleId="HeaderChar">
    <w:name w:val="Header Char"/>
    <w:basedOn w:val="DefaultParagraphFont"/>
    <w:link w:val="Header"/>
    <w:uiPriority w:val="99"/>
    <w:rsid w:val="00617C1F"/>
    <w:rPr>
      <w:rFonts w:ascii="Calibri" w:eastAsia="Calibri" w:hAnsi="Calibri" w:cs="Times New Roman"/>
      <w:sz w:val="20"/>
      <w:szCs w:val="20"/>
      <w:lang w:eastAsia="ja-JP"/>
    </w:rPr>
  </w:style>
  <w:style w:type="character" w:styleId="PageNumber">
    <w:name w:val="page number"/>
    <w:uiPriority w:val="99"/>
    <w:semiHidden/>
    <w:rsid w:val="00617C1F"/>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eader" Target="header2.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570</Words>
  <Characters>3269</Characters>
  <Application>Microsoft Office Word</Application>
  <DocSecurity>0</DocSecurity>
  <Lines>53</Lines>
  <Paragraphs>20</Paragraphs>
  <ScaleCrop>false</ScaleCrop>
  <Company/>
  <LinksUpToDate>false</LinksUpToDate>
  <CharactersWithSpaces>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Reed, Geoffrey M.</dc:creator>
  <cp:keywords/>
  <dc:description/>
  <cp:lastModifiedBy>Reed, Geoffrey M.</cp:lastModifiedBy>
  <cp:revision>1</cp:revision>
  <dcterms:created xsi:type="dcterms:W3CDTF">2023-09-25T20:46:00Z</dcterms:created>
  <dcterms:modified xsi:type="dcterms:W3CDTF">2023-09-25T20:49:00Z</dcterms:modified>
</cp:coreProperties>
</file>