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A5F"/>
          <w:sz w:val="32"/>
          <w:szCs w:val="32"/>
        </w:rPr>
        <w:t xml:space="preserve">PROJECT MANAGEMENT SERVICES AGREEMENT</w:t>
      </w:r>
    </w:p>
    <w:p>
      <w:pPr>
        <w:spacing w:after="240"/>
        <w:jc w:val="center"/>
      </w:pPr>
      <w:r>
        <w:rPr>
          <w:i/>
          <w:iCs/>
          <w:color w:val="555555"/>
        </w:rPr>
        <w:t xml:space="preserve">Stockify Platform – Independent Consultant Engagement</w:t>
      </w:r>
    </w:p>
    <w:p>
      <w:pPr>
        <w:spacing w:after="240"/>
      </w:pPr>
      <w:r>
        <w:rPr>
          <w:i/>
          <w:iCs/>
          <w:sz w:val="18"/>
          <w:szCs w:val="18"/>
          <w:highlight w:val="yellow"/>
        </w:rPr>
        <w:t xml:space="preserve">Note: text highlighted in yellow is a placeholder to fill in or confirm before signing. Remove this note before sending.</w:t>
      </w:r>
    </w:p>
    <w:p>
      <w:pPr>
        <w:spacing w:after="120"/>
      </w:pPr>
      <w:r>
        <w:t xml:space="preserve">This Agreement is made on 29 September 2026 ("Effective Date") between:</w:t>
      </w:r>
    </w:p>
    <w:p>
      <w:pPr>
        <w:spacing w:after="120"/>
      </w:pPr>
      <w:r>
        <w:rPr>
          <w:b/>
          <w:bCs/>
        </w:rPr>
        <w:t xml:space="preserve">Levelup Multilink LLP</w:t>
      </w:r>
      <w:r>
        <w:t xml:space="preserve">, a limited liability partnership registered in India (PAN: AAHFL1883D), with its office at Challenger T-1/2004, Thakur Village, Kandivali East, Mumbai 400101, represented by Malhar Lakdawala (the "Company"); and</w:t>
      </w:r>
    </w:p>
    <w:p>
      <w:pPr>
        <w:spacing w:after="120"/>
      </w:pPr>
      <w:r>
        <w:rPr>
          <w:b/>
          <w:bCs/>
        </w:rPr>
        <w:t xml:space="preserve">Vijay [Surname]</w:t>
      </w:r>
      <w:r>
        <w:t xml:space="preserve">, residing at </w:t>
      </w:r>
      <w:r>
        <w:rPr>
          <w:highlight w:val="yellow"/>
        </w:rPr>
        <w:t xml:space="preserve">[Address]</w:t>
      </w:r>
      <w:r>
        <w:t xml:space="preserve">, PAN </w:t>
      </w:r>
      <w:r>
        <w:rPr>
          <w:highlight w:val="yellow"/>
        </w:rPr>
        <w:t xml:space="preserve">[PAN Number]</w:t>
      </w:r>
      <w:r>
        <w:t xml:space="preserve"> (the "Consultant").</w:t>
      </w:r>
    </w:p>
    <w:p>
      <w:pPr>
        <w:spacing w:after="120"/>
      </w:pPr>
      <w:r>
        <w:t xml:space="preserve">The Company and the Consultant are each a "Party" and together the "Parties".</w:t>
      </w:r>
    </w:p>
    <w:p>
      <w:pPr>
        <w:pStyle w:val="Heading2"/>
        <w:spacing w:after="120" w:before="240"/>
      </w:pPr>
      <w:r>
        <w:t xml:space="preserve">1. Background</w:t>
      </w:r>
    </w:p>
    <w:p>
      <w:pPr>
        <w:spacing w:after="120"/>
      </w:pPr>
      <w:r>
        <w:t xml:space="preserve">The Company has been engaged by </w:t>
      </w:r>
      <w:r>
        <w:rPr>
          <w:highlight w:val="yellow"/>
        </w:rPr>
        <w:t xml:space="preserve">[Client Name]</w:t>
      </w:r>
      <w:r>
        <w:t xml:space="preserve"> (the "Client") to design and build the Stockify platform (the "Project"). The Company wishes to engage the Consultant as the client-facing Project Manager / Delivery Coordinator for the Project, and the Consultant agrees on the terms below.</w:t>
      </w:r>
    </w:p>
    <w:p>
      <w:pPr>
        <w:pStyle w:val="Heading2"/>
        <w:spacing w:after="120" w:before="240"/>
      </w:pPr>
      <w:r>
        <w:t xml:space="preserve">2. Project Scope</w:t>
      </w:r>
    </w:p>
    <w:p>
      <w:pPr>
        <w:spacing w:after="120"/>
      </w:pPr>
      <w:r>
        <w:t xml:space="preserve">The Project will be delivered in phases and will initially cover data for approximately 10,000 companies, built to allow further expansion. Key modules include:</w:t>
      </w:r>
    </w:p>
    <w:p>
      <w:pPr>
        <w:pStyle w:val="ListParagraph"/>
        <w:numPr>
          <w:ilvl w:val="0"/>
          <w:numId w:val="2"/>
        </w:numPr>
        <w:spacing w:after="60"/>
      </w:pPr>
      <w:r>
        <w:t xml:space="preserve">Unlisted Company</w:t>
      </w:r>
    </w:p>
    <w:p>
      <w:pPr>
        <w:pStyle w:val="ListParagraph"/>
        <w:numPr>
          <w:ilvl w:val="0"/>
          <w:numId w:val="2"/>
        </w:numPr>
        <w:spacing w:after="60"/>
      </w:pPr>
      <w:r>
        <w:t xml:space="preserve">US Private Equity</w:t>
      </w:r>
    </w:p>
    <w:p>
      <w:pPr>
        <w:pStyle w:val="ListParagraph"/>
        <w:numPr>
          <w:ilvl w:val="0"/>
          <w:numId w:val="2"/>
        </w:numPr>
        <w:spacing w:after="60"/>
      </w:pPr>
      <w:r>
        <w:t xml:space="preserve">MLD</w:t>
      </w:r>
    </w:p>
    <w:p>
      <w:pPr>
        <w:pStyle w:val="ListParagraph"/>
        <w:numPr>
          <w:ilvl w:val="0"/>
          <w:numId w:val="2"/>
        </w:numPr>
        <w:spacing w:after="60"/>
      </w:pPr>
      <w:r>
        <w:t xml:space="preserve">Company Snapshot</w:t>
      </w:r>
    </w:p>
    <w:p>
      <w:pPr>
        <w:pStyle w:val="ListParagraph"/>
        <w:numPr>
          <w:ilvl w:val="0"/>
          <w:numId w:val="2"/>
        </w:numPr>
        <w:spacing w:after="60"/>
      </w:pPr>
      <w:r>
        <w:t xml:space="preserve">Verdict</w:t>
      </w:r>
    </w:p>
    <w:p>
      <w:pPr>
        <w:pStyle w:val="ListParagraph"/>
        <w:numPr>
          <w:ilvl w:val="0"/>
          <w:numId w:val="2"/>
        </w:numPr>
        <w:spacing w:after="60"/>
      </w:pPr>
      <w:r>
        <w:t xml:space="preserve">Pricing</w:t>
      </w:r>
    </w:p>
    <w:p>
      <w:pPr>
        <w:pStyle w:val="ListParagraph"/>
        <w:numPr>
          <w:ilvl w:val="0"/>
          <w:numId w:val="2"/>
        </w:numPr>
        <w:spacing w:after="60"/>
      </w:pPr>
      <w:r>
        <w:t xml:space="preserve">Valuation</w:t>
      </w:r>
    </w:p>
    <w:p>
      <w:pPr>
        <w:pStyle w:val="ListParagraph"/>
        <w:numPr>
          <w:ilvl w:val="0"/>
          <w:numId w:val="2"/>
        </w:numPr>
        <w:spacing w:after="60"/>
      </w:pPr>
      <w:r>
        <w:t xml:space="preserve">Compliance</w:t>
      </w:r>
    </w:p>
    <w:p>
      <w:pPr>
        <w:spacing w:after="120"/>
      </w:pPr>
      <w:r>
        <w:t xml:space="preserve">Planned technology: React (frontend), Node.js (backend) and PostgreSQL (database). The detailed scope will be as set out in the PRDs and the Company–Client scope documents, as updated from time to time.</w:t>
      </w:r>
    </w:p>
    <w:p>
      <w:pPr>
        <w:pStyle w:val="Heading2"/>
        <w:spacing w:after="120" w:before="240"/>
      </w:pPr>
      <w:r>
        <w:t xml:space="preserve">3. Role and Responsibilities</w:t>
      </w:r>
    </w:p>
    <w:p>
      <w:pPr>
        <w:spacing w:after="120"/>
      </w:pPr>
      <w:r>
        <w:t xml:space="preserve">The Consultant will act as the primary client-facing Project Manager / Delivery Coordinator and will:</w:t>
      </w:r>
    </w:p>
    <w:p>
      <w:pPr>
        <w:pStyle w:val="ListParagraph"/>
        <w:numPr>
          <w:ilvl w:val="0"/>
          <w:numId w:val="3"/>
        </w:numPr>
        <w:spacing w:after="80"/>
      </w:pPr>
      <w:r>
        <w:t xml:space="preserve">handle day-to-day communication with the Client (primarily via WhatsApp, and with the Client's PA for scheduling);</w:t>
      </w:r>
    </w:p>
    <w:p>
      <w:pPr>
        <w:pStyle w:val="ListParagraph"/>
        <w:numPr>
          <w:ilvl w:val="0"/>
          <w:numId w:val="3"/>
        </w:numPr>
        <w:spacing w:after="80"/>
      </w:pPr>
      <w:r>
        <w:t xml:space="preserve">clarify requirements and manage priorities with the Client;</w:t>
      </w:r>
    </w:p>
    <w:p>
      <w:pPr>
        <w:pStyle w:val="ListParagraph"/>
        <w:numPr>
          <w:ilvl w:val="0"/>
          <w:numId w:val="3"/>
        </w:numPr>
        <w:spacing w:after="80"/>
      </w:pPr>
      <w:r>
        <w:t xml:space="preserve">coordinate Client feedback and approvals, including review of Figma screens and designs;</w:t>
      </w:r>
    </w:p>
    <w:p>
      <w:pPr>
        <w:pStyle w:val="ListParagraph"/>
        <w:numPr>
          <w:ilvl w:val="0"/>
          <w:numId w:val="3"/>
        </w:numPr>
        <w:spacing w:after="80"/>
      </w:pPr>
      <w:r>
        <w:t xml:space="preserve">track Project progress against the agreed phases and milestones;</w:t>
      </w:r>
    </w:p>
    <w:p>
      <w:pPr>
        <w:pStyle w:val="ListParagraph"/>
        <w:numPr>
          <w:ilvl w:val="0"/>
          <w:numId w:val="3"/>
        </w:numPr>
        <w:spacing w:after="80"/>
      </w:pPr>
      <w:r>
        <w:t xml:space="preserve">prepare and share weekly project plans and progress updates showing completed work;</w:t>
      </w:r>
    </w:p>
    <w:p>
      <w:pPr>
        <w:pStyle w:val="ListParagraph"/>
        <w:numPr>
          <w:ilvl w:val="0"/>
          <w:numId w:val="3"/>
        </w:numPr>
        <w:spacing w:after="80"/>
      </w:pPr>
      <w:r>
        <w:t xml:space="preserve">coordinate between the Client and the Company's internal development, design and finance teams (internally via Slack);</w:t>
      </w:r>
    </w:p>
    <w:p>
      <w:pPr>
        <w:pStyle w:val="ListParagraph"/>
        <w:numPr>
          <w:ilvl w:val="0"/>
          <w:numId w:val="3"/>
        </w:numPr>
        <w:spacing w:after="80"/>
      </w:pPr>
      <w:r>
        <w:t xml:space="preserve">make sure requirements are documented and agreed before development starts, and flag any new request outside the agreed scope to the Company for an impact review on timeline and effort before it is accepted.</w:t>
      </w:r>
    </w:p>
    <w:p>
      <w:pPr>
        <w:spacing w:after="120"/>
      </w:pPr>
      <w:r>
        <w:t xml:space="preserve">Malhar Lakdawala will provide internal support to the Consultant and will set developer priorities and execution. The Consultant will not commit the Company to any change in scope, price or timeline without the Company's written approval.</w:t>
      </w:r>
    </w:p>
    <w:p>
      <w:pPr>
        <w:pStyle w:val="Heading2"/>
        <w:spacing w:after="120" w:before="240"/>
      </w:pPr>
      <w:r>
        <w:t xml:space="preserve">4. Timeline and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80"/>
        <w:gridCol w:w="2880"/>
      </w:tblGrid>
      <w:tr>
        <w:tc>
          <w:tcPr>
            <w:tcW w:type="dxa" w:w="2600"/>
            <w:tcBorders>
              <w:top w:val="single" w:color="999999" w:sz="4"/>
              <w:left w:val="single" w:color="999999" w:sz="4"/>
              <w:bottom w:val="single" w:color="999999" w:sz="4"/>
              <w:right w:val="single" w:color="999999" w:sz="4"/>
            </w:tcBorders>
            <w:shd w:fill="E8EDF3" w:val="clear"/>
            <w:tcMar>
              <w:top w:type="dxa" w:w="80"/>
              <w:left w:type="dxa" w:w="120"/>
              <w:bottom w:type="dxa" w:w="80"/>
              <w:right w:type="dxa" w:w="120"/>
            </w:tcMar>
          </w:tcPr>
          <w:p>
            <w:r>
              <w:rPr>
                <w:b/>
                <w:bCs/>
              </w:rPr>
              <w:t xml:space="preserve">Phase / Milestone</w:t>
            </w:r>
          </w:p>
        </w:tc>
        <w:tc>
          <w:tcPr>
            <w:tcW w:type="dxa" w:w="3880"/>
            <w:tcBorders>
              <w:top w:val="single" w:color="999999" w:sz="4"/>
              <w:left w:val="single" w:color="999999" w:sz="4"/>
              <w:bottom w:val="single" w:color="999999" w:sz="4"/>
              <w:right w:val="single" w:color="999999" w:sz="4"/>
            </w:tcBorders>
            <w:shd w:fill="E8EDF3" w:val="clear"/>
            <w:tcMar>
              <w:top w:type="dxa" w:w="80"/>
              <w:left w:type="dxa" w:w="120"/>
              <w:bottom w:type="dxa" w:w="80"/>
              <w:right w:type="dxa" w:w="120"/>
            </w:tcMar>
          </w:tcPr>
          <w:p>
            <w:r>
              <w:rPr>
                <w:b/>
                <w:bCs/>
              </w:rPr>
              <w:t xml:space="preserve">Deliverable</w:t>
            </w:r>
          </w:p>
        </w:tc>
        <w:tc>
          <w:tcPr>
            <w:tcW w:type="dxa" w:w="2880"/>
            <w:tcBorders>
              <w:top w:val="single" w:color="999999" w:sz="4"/>
              <w:left w:val="single" w:color="999999" w:sz="4"/>
              <w:bottom w:val="single" w:color="999999" w:sz="4"/>
              <w:right w:val="single" w:color="999999" w:sz="4"/>
            </w:tcBorders>
            <w:shd w:fill="E8EDF3" w:val="clear"/>
            <w:tcMar>
              <w:top w:type="dxa" w:w="80"/>
              <w:left w:type="dxa" w:w="120"/>
              <w:bottom w:type="dxa" w:w="80"/>
              <w:right w:type="dxa" w:w="120"/>
            </w:tcMar>
          </w:tcPr>
          <w:p>
            <w:r>
              <w:rPr>
                <w:b/>
                <w:bCs/>
              </w:rPr>
              <w:t xml:space="preserve">Target</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Phase 1</w:t>
            </w:r>
          </w:p>
        </w:tc>
        <w:tc>
          <w:tcPr>
            <w:tcW w:type="dxa" w:w="388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US Private Equity and MLD modules</w:t>
            </w:r>
          </w:p>
        </w:tc>
        <w:tc>
          <w:tcPr>
            <w:tcW w:type="dxa" w:w="288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By 31 October 2026</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Phase 2</w:t>
            </w:r>
          </w:p>
        </w:tc>
        <w:tc>
          <w:tcPr>
            <w:tcW w:type="dxa" w:w="388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Unlisted Company pages, website pages and related modules</w:t>
            </w:r>
          </w:p>
        </w:tc>
        <w:tc>
          <w:tcPr>
            <w:tcW w:type="dxa" w:w="288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November 2026</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Final Phase</w:t>
            </w:r>
          </w:p>
        </w:tc>
        <w:tc>
          <w:tcPr>
            <w:tcW w:type="dxa" w:w="388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Final delivery: development completion, QA and Client UAT sign-off of the full platform</w:t>
            </w:r>
          </w:p>
        </w:tc>
        <w:tc>
          <w:tcPr>
            <w:tcW w:type="dxa" w:w="28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highlight w:val="yellow"/>
              </w:rPr>
              <w:t xml:space="preserve">[Target date]</w:t>
            </w:r>
          </w:p>
        </w:tc>
      </w:tr>
    </w:tbl>
    <w:p>
      <w:pPr>
        <w:spacing w:after="120"/>
      </w:pPr>
    </w:p>
    <w:p>
      <w:pPr>
        <w:spacing w:after="120"/>
      </w:pPr>
      <w:r>
        <w:t xml:space="preserve">Detailed timelines will follow the finalised scope. The Consultant will flag any risk to these dates to the Company as soon as it is known.</w:t>
      </w:r>
    </w:p>
    <w:p>
      <w:pPr>
        <w:pStyle w:val="Heading2"/>
        <w:spacing w:after="120" w:before="240"/>
      </w:pPr>
      <w:r>
        <w:t xml:space="preserve">5. Term</w:t>
      </w:r>
    </w:p>
    <w:p>
      <w:pPr>
        <w:spacing w:after="120"/>
      </w:pPr>
      <w:r>
        <w:t xml:space="preserve">This Agreement starts on the Effective Date and runs until </w:t>
      </w:r>
      <w:r>
        <w:rPr>
          <w:highlight w:val="yellow"/>
        </w:rPr>
        <w:t xml:space="preserve">[End Date / completion of Client UAT and final handover]</w:t>
      </w:r>
      <w:r>
        <w:t xml:space="preserve">, unless ended earlier under Clause 12. The Parties may extend it in writing for later phases or new work.</w:t>
      </w:r>
    </w:p>
    <w:p>
      <w:pPr>
        <w:pStyle w:val="Heading2"/>
        <w:spacing w:after="120" w:before="240"/>
      </w:pPr>
      <w:r>
        <w:t xml:space="preserve">6. Working Arrangements</w:t>
      </w:r>
    </w:p>
    <w:p>
      <w:pPr>
        <w:pStyle w:val="ListParagraph"/>
        <w:numPr>
          <w:ilvl w:val="0"/>
          <w:numId w:val="2"/>
        </w:numPr>
        <w:spacing w:after="60"/>
      </w:pPr>
      <w:r>
        <w:t xml:space="preserve">The Client is based between Dubai and India; the Consultant will schedule meetings to suit both time zones.</w:t>
      </w:r>
    </w:p>
    <w:p>
      <w:pPr>
        <w:pStyle w:val="ListParagraph"/>
        <w:numPr>
          <w:ilvl w:val="0"/>
          <w:numId w:val="2"/>
        </w:numPr>
        <w:spacing w:after="60"/>
      </w:pPr>
      <w:r>
        <w:t xml:space="preserve">Meetings will generally be on weekdays, with Saturday availability where needed.</w:t>
      </w:r>
    </w:p>
    <w:p>
      <w:pPr>
        <w:pStyle w:val="ListParagraph"/>
        <w:numPr>
          <w:ilvl w:val="0"/>
          <w:numId w:val="2"/>
        </w:numPr>
        <w:spacing w:after="60"/>
      </w:pPr>
      <w:r>
        <w:t xml:space="preserve">Expected commitment: </w:t>
      </w:r>
      <w:r>
        <w:rPr>
          <w:highlight w:val="yellow"/>
        </w:rPr>
        <w:t xml:space="preserve">[e.g. full-time / __ hours per week]</w:t>
      </w:r>
      <w:r>
        <w:t xml:space="preserve">, during </w:t>
      </w:r>
      <w:r>
        <w:rPr>
          <w:highlight w:val="yellow"/>
        </w:rPr>
        <w:t xml:space="preserve">[working hours]</w:t>
      </w:r>
      <w:r>
        <w:t xml:space="preserve">.</w:t>
      </w:r>
    </w:p>
    <w:p>
      <w:pPr>
        <w:pStyle w:val="ListParagraph"/>
        <w:numPr>
          <w:ilvl w:val="0"/>
          <w:numId w:val="2"/>
        </w:numPr>
        <w:spacing w:after="60"/>
      </w:pPr>
      <w:r>
        <w:t xml:space="preserve">The Company will provide a company email account and access to the tools needed (Slack, Figma, project documents).</w:t>
      </w:r>
    </w:p>
    <w:p>
      <w:pPr>
        <w:pStyle w:val="Heading2"/>
        <w:spacing w:after="120" w:before="240"/>
      </w:pPr>
      <w:r>
        <w:t xml:space="preserve">7. Fees and Payment (Commercials)</w:t>
      </w:r>
    </w:p>
    <w:p>
      <w:pPr>
        <w:spacing w:after="120"/>
      </w:pPr>
      <w:r>
        <w:t xml:space="preserve">In return for the services, the Company will pay the Consultant a total fixed fee of ₹50,000 (Rupees Fifty Thousand only), in three milestone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999999" w:sz="4"/>
              <w:left w:val="single" w:color="999999" w:sz="4"/>
              <w:bottom w:val="single" w:color="999999" w:sz="4"/>
              <w:right w:val="single" w:color="999999" w:sz="4"/>
            </w:tcBorders>
            <w:shd w:fill="E8EDF3" w:val="clear"/>
            <w:tcMar>
              <w:top w:type="dxa" w:w="80"/>
              <w:left w:type="dxa" w:w="120"/>
              <w:bottom w:type="dxa" w:w="80"/>
              <w:right w:type="dxa" w:w="120"/>
            </w:tcMar>
          </w:tcPr>
          <w:p>
            <w:r>
              <w:rPr>
                <w:b/>
                <w:bCs/>
              </w:rPr>
              <w:t xml:space="preserve">Item</w:t>
            </w:r>
          </w:p>
        </w:tc>
        <w:tc>
          <w:tcPr>
            <w:tcW w:type="dxa" w:w="5160"/>
            <w:tcBorders>
              <w:top w:val="single" w:color="999999" w:sz="4"/>
              <w:left w:val="single" w:color="999999" w:sz="4"/>
              <w:bottom w:val="single" w:color="999999" w:sz="4"/>
              <w:right w:val="single" w:color="999999" w:sz="4"/>
            </w:tcBorders>
            <w:shd w:fill="E8EDF3" w:val="clear"/>
            <w:tcMar>
              <w:top w:type="dxa" w:w="80"/>
              <w:left w:type="dxa" w:w="120"/>
              <w:bottom w:type="dxa" w:w="80"/>
              <w:right w:type="dxa" w:w="120"/>
            </w:tcMar>
          </w:tcPr>
          <w:p>
            <w:r>
              <w:rPr>
                <w:b/>
                <w:bCs/>
              </w:rPr>
              <w:t xml:space="preserve">Amount / Terms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Phase 1 – US Private Equity and MLD modules (by end of October 2026)</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₹15,000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Phase 2 – Unlisted Company and website pages (November 2026)</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₹15,000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Final Phase – final delivery and completion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₹20,000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Total fee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₹50,000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When paid</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Each amount is paid on completion of that phase, as confirmed by the Company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Invoicing</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Consultant to invoice on completion of each phase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Payment terms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Within </w:t>
            </w:r>
            <w:r>
              <w:rPr>
                <w:highlight w:val="yellow"/>
              </w:rPr>
              <w:t xml:space="preserve">[7/15]</w:t>
            </w:r>
            <w:r>
              <w:t xml:space="preserve"> days of a valid invoice, by bank transfer</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Expenses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Only pre-approved expenses, reimbursed against receipts</w:t>
            </w:r>
          </w:p>
        </w:tc>
      </w:tr>
    </w:tbl>
    <w:p>
      <w:pPr>
        <w:spacing w:after="120"/>
      </w:pPr>
    </w:p>
    <w:p>
      <w:pPr>
        <w:spacing w:after="120"/>
      </w:pPr>
      <w:r>
        <w:t xml:space="preserve">Fees are exclusive of GST (added if the Consultant is GST-registered) and subject to tax deducted at source (TDS) as required by law. No other fee is payable unless agreed in writing.</w:t>
      </w:r>
    </w:p>
    <w:p>
      <w:pPr>
        <w:pStyle w:val="Heading2"/>
        <w:spacing w:after="120" w:before="240"/>
      </w:pPr>
      <w:r>
        <w:t xml:space="preserve">8. Independent Contractor</w:t>
      </w:r>
    </w:p>
    <w:p>
      <w:pPr>
        <w:spacing w:after="120"/>
      </w:pPr>
      <w:r>
        <w:t xml:space="preserve">The Consultant is an independent contractor, not an employee, partner or agent of the Company. The Consultant is responsible for their own taxes and is not entitled to employee benefits. The Consultant may not sign contracts or make binding promises on the Company's behalf.</w:t>
      </w:r>
    </w:p>
    <w:p>
      <w:pPr>
        <w:pStyle w:val="Heading2"/>
        <w:spacing w:after="120" w:before="240"/>
      </w:pPr>
      <w:r>
        <w:t xml:space="preserve">9. Confidentiality</w:t>
      </w:r>
    </w:p>
    <w:p>
      <w:pPr>
        <w:spacing w:after="120"/>
      </w:pPr>
      <w:r>
        <w:t xml:space="preserve">The Consultant will keep all Company and Client information confidential under the Non-Disclosure Agreement signed between the Parties, which forms part of this Agreement. These duties survive the end of this Agreement.</w:t>
      </w:r>
    </w:p>
    <w:p>
      <w:pPr>
        <w:pStyle w:val="Heading2"/>
        <w:spacing w:after="120" w:before="240"/>
      </w:pPr>
      <w:r>
        <w:t xml:space="preserve">10. Intellectual Property</w:t>
      </w:r>
    </w:p>
    <w:p>
      <w:pPr>
        <w:spacing w:after="120"/>
      </w:pPr>
      <w:r>
        <w:t xml:space="preserve">All work produced by the Consultant for the Project – including plans, reports, documents, notes and communications – belongs to the Company from creation. The Consultant assigns all rights in such work to the Company and will sign any document needed to confirm this.</w:t>
      </w:r>
    </w:p>
    <w:p>
      <w:pPr>
        <w:pStyle w:val="Heading2"/>
        <w:spacing w:after="120" w:before="240"/>
      </w:pPr>
      <w:r>
        <w:t xml:space="preserve">11. Non-Solicitation</w:t>
      </w:r>
    </w:p>
    <w:p>
      <w:pPr>
        <w:spacing w:after="120"/>
      </w:pPr>
      <w:r>
        <w:t xml:space="preserve">During this Agreement and for </w:t>
      </w:r>
      <w:r>
        <w:rPr>
          <w:highlight w:val="yellow"/>
        </w:rPr>
        <w:t xml:space="preserve">[12]</w:t>
      </w:r>
      <w:r>
        <w:t xml:space="preserve"> months after it ends, the Consultant will not, directly or indirectly, (a) offer services to the Client for work related to the Project or similar work, other than through the Company, or (b) hire or try to hire any Company employee or contractor.</w:t>
      </w:r>
    </w:p>
    <w:p>
      <w:pPr>
        <w:pStyle w:val="Heading2"/>
        <w:spacing w:after="120" w:before="240"/>
      </w:pPr>
      <w:r>
        <w:t xml:space="preserve">12. Termination</w:t>
      </w:r>
    </w:p>
    <w:p>
      <w:pPr>
        <w:pStyle w:val="ListParagraph"/>
        <w:numPr>
          <w:ilvl w:val="0"/>
          <w:numId w:val="2"/>
        </w:numPr>
        <w:spacing w:after="60"/>
      </w:pPr>
      <w:r>
        <w:t xml:space="preserve">Either Party may end this Agreement with </w:t>
      </w:r>
      <w:r>
        <w:rPr>
          <w:highlight w:val="yellow"/>
        </w:rPr>
        <w:t xml:space="preserve">[15/30]</w:t>
      </w:r>
      <w:r>
        <w:t xml:space="preserve"> days' written notice.</w:t>
      </w:r>
    </w:p>
    <w:p>
      <w:pPr>
        <w:pStyle w:val="ListParagraph"/>
        <w:numPr>
          <w:ilvl w:val="0"/>
          <w:numId w:val="2"/>
        </w:numPr>
        <w:spacing w:after="60"/>
      </w:pPr>
      <w:r>
        <w:t xml:space="preserve">The Company may end it immediately if the Consultant materially breaches this Agreement or the NDA.</w:t>
      </w:r>
    </w:p>
    <w:p>
      <w:pPr>
        <w:pStyle w:val="ListParagraph"/>
        <w:numPr>
          <w:ilvl w:val="0"/>
          <w:numId w:val="2"/>
        </w:numPr>
        <w:spacing w:after="60"/>
      </w:pPr>
      <w:r>
        <w:t xml:space="preserve">On termination, the Consultant will hand over all work, files and access, return Company property, and be paid for services performed up to the end date. Milestone payments for phases not yet completed will not be payable, unless agreed otherwise in writing.</w:t>
      </w:r>
    </w:p>
    <w:p>
      <w:pPr>
        <w:pStyle w:val="Heading2"/>
        <w:spacing w:after="120" w:before="240"/>
      </w:pPr>
      <w:r>
        <w:t xml:space="preserve">13. General</w:t>
      </w:r>
    </w:p>
    <w:p>
      <w:pPr>
        <w:pStyle w:val="ListParagraph"/>
        <w:numPr>
          <w:ilvl w:val="0"/>
          <w:numId w:val="2"/>
        </w:numPr>
        <w:spacing w:after="60"/>
      </w:pPr>
      <w:r>
        <w:t xml:space="preserve">Governing law: the laws of India. Courts at </w:t>
      </w:r>
      <w:r>
        <w:rPr>
          <w:highlight w:val="yellow"/>
        </w:rPr>
        <w:t xml:space="preserve">[City]</w:t>
      </w:r>
      <w:r>
        <w:t xml:space="preserve">, India will have exclusive jurisdiction.</w:t>
      </w:r>
    </w:p>
    <w:p>
      <w:pPr>
        <w:pStyle w:val="ListParagraph"/>
        <w:numPr>
          <w:ilvl w:val="0"/>
          <w:numId w:val="2"/>
        </w:numPr>
        <w:spacing w:after="60"/>
      </w:pPr>
      <w:r>
        <w:t xml:space="preserve">This Agreement and the NDA are the entire agreement between the Parties on this subject. Changes must be in writing and signed by both Parties.</w:t>
      </w:r>
    </w:p>
    <w:p>
      <w:pPr>
        <w:pStyle w:val="ListParagraph"/>
        <w:numPr>
          <w:ilvl w:val="0"/>
          <w:numId w:val="2"/>
        </w:numPr>
        <w:spacing w:after="60"/>
      </w:pPr>
      <w:r>
        <w:t xml:space="preserve">The Consultant may not transfer or sub-contract this Agreement without the Company's written consent.</w:t>
      </w:r>
    </w:p>
    <w:p>
      <w:pPr>
        <w:pStyle w:val="ListParagraph"/>
        <w:numPr>
          <w:ilvl w:val="0"/>
          <w:numId w:val="2"/>
        </w:numPr>
        <w:spacing w:after="60"/>
      </w:pPr>
      <w:r>
        <w:t xml:space="preserve">Notices may be sent by email to the addresses the Parties provide.</w:t>
      </w:r>
    </w:p>
    <w:p>
      <w:pPr>
        <w:spacing w:after="120"/>
      </w:pPr>
    </w:p>
    <w:p>
      <w:pPr>
        <w:spacing w:after="120"/>
      </w:pPr>
      <w:r>
        <w:rPr>
          <w:b/>
          <w:bCs/>
        </w:rPr>
        <w:t xml:space="preserve">Signed by the Parties on the dates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160"/>
            </w:pPr>
            <w:r>
              <w:rPr>
                <w:b/>
                <w:bCs/>
              </w:rPr>
              <w:t xml:space="preserve">For the COMPANY</w:t>
            </w:r>
          </w:p>
          <w:p>
            <w:pPr>
              <w:spacing w:after="160"/>
            </w:pPr>
            <w:r>
              <w:t xml:space="preserve">Levelup Multilink LLP</w:t>
            </w:r>
          </w:p>
          <w:p>
            <w:pPr>
              <w:spacing w:after="160"/>
            </w:pPr>
            <w:r>
              <w:t xml:space="preserve">Signature: ____________________</w:t>
            </w:r>
          </w:p>
          <w:p>
            <w:pPr>
              <w:spacing w:after="160"/>
            </w:pPr>
            <w:r>
              <w:t xml:space="preserve">Name: Malhar Lakdawala</w:t>
            </w:r>
          </w:p>
          <w:p>
            <w:pPr>
              <w:spacing w:after="160"/>
            </w:pPr>
            <w:r>
              <w:t xml:space="preserve">Title: Designated Partner</w:t>
            </w:r>
          </w:p>
          <w:p>
            <w:pPr>
              <w:spacing w:after="160"/>
            </w:pPr>
            <w:r>
              <w:t xml:space="preserve">Date: ____________________</w:t>
            </w:r>
          </w:p>
        </w:tc>
        <w:tc>
          <w:tcPr>
            <w:tcW w:type="dxa" w:w="4680"/>
            <w:tcBorders>
              <w:top w:val="none"/>
              <w:left w:val="none"/>
              <w:bottom w:val="none"/>
              <w:right w:val="none"/>
            </w:tcBorders>
          </w:tcPr>
          <w:p>
            <w:pPr>
              <w:spacing w:after="160"/>
            </w:pPr>
            <w:r>
              <w:rPr>
                <w:b/>
                <w:bCs/>
              </w:rPr>
              <w:t xml:space="preserve">The CONSULTANT</w:t>
            </w:r>
          </w:p>
          <w:p>
            <w:pPr>
              <w:spacing w:after="160"/>
            </w:pPr>
            <w:r>
              <w:t xml:space="preserve">Vijay </w:t>
            </w:r>
            <w:r>
              <w:rPr>
                <w:highlight w:val="yellow"/>
              </w:rPr>
              <w:t xml:space="preserve">[Surname]</w:t>
            </w:r>
          </w:p>
          <w:p>
            <w:pPr>
              <w:spacing w:after="160"/>
            </w:pPr>
            <w:r>
              <w:t xml:space="preserve">Signature: ____________________</w:t>
            </w:r>
          </w:p>
          <w:p>
            <w:pPr>
              <w:spacing w:after="160"/>
            </w:pPr>
            <w:r>
              <w:t xml:space="preserve">PAN: </w:t>
            </w:r>
            <w:r>
              <w:rPr>
                <w:highlight w:val="yellow"/>
              </w:rPr>
              <w:t xml:space="preserve">[PAN Number]</w:t>
            </w:r>
          </w:p>
          <w:p>
            <w:pPr>
              <w:spacing w:after="160"/>
            </w:pPr>
            <w:r>
              <w:t xml:space="preserve">Date: ____________________</w:t>
            </w:r>
          </w:p>
        </w:tc>
      </w:tr>
    </w:tbl>
    <w:sectPr>
      <w:footerReference w:type="default" r:id="rId6"/>
      <w:pgSz w:w="11906" w:h="16838" w:orient="portrait"/>
      <w:pgMar w:top="1300" w:right="1273" w:bottom="130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Project Management Services Agreement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b/>
      <w:bCs/>
      <w:color w:val="1F3A5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2026-09-29T08:39:00.935Z</dcterms:created>
  <dcterms:modified xsi:type="dcterms:W3CDTF">2026-09-29T08:39:00.940Z</dcterms:modified>
</cp:coreProperties>
</file>

<file path=docProps/custom.xml><?xml version="1.0" encoding="utf-8"?>
<Properties xmlns="http://schemas.openxmlformats.org/officeDocument/2006/custom-properties" xmlns:vt="http://schemas.openxmlformats.org/officeDocument/2006/docPropsVTypes"/>
</file>