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C1541C"/>
          <w:sz w:val="52"/>
        </w:rPr>
        <w:t>Pramaan — Engineering Requirements &amp; ERD</w:t>
      </w:r>
    </w:p>
    <w:p>
      <w:pPr>
        <w:spacing w:after="40"/>
      </w:pPr>
      <w:r>
        <w:rPr>
          <w:i/>
          <w:color w:val="555555"/>
          <w:sz w:val="26"/>
        </w:rPr>
        <w:t>Vendor Trust Passport System — Engineering Requirements Document</w:t>
      </w:r>
    </w:p>
    <w:p>
      <w:pPr>
        <w:pBdr>
          <w:bottom w:val="single" w:sz="12" w:space="1" w:color="C1541C"/>
        </w:pBdr>
        <w:spacing w:after="280"/>
      </w:pPr>
    </w:p>
    <w:p>
      <w:pPr>
        <w:pStyle w:val="Heading1"/>
      </w:pPr>
      <w:r>
        <w:t>1. Overall Architecture</w:t>
      </w:r>
    </w:p>
    <w:p>
      <w:r>
        <w:rPr>
          <w:b w:val="0"/>
          <w:i w:val="0"/>
          <w:color w:val="1F1F1F"/>
        </w:rPr>
        <w:t>Pramaan is a service-oriented, event-driven system that decouples document intake and government-sourced identity verification from downstream transactional ERPs. Five components operate in a pipeline, handing work to each other in a loop rather than a one-way pipe:</w:t>
      </w:r>
    </w:p>
    <w:p>
      <w:pPr>
        <w:pStyle w:val="ListBullet"/>
        <w:spacing w:after="80"/>
        <w:ind w:left="403"/>
      </w:pPr>
      <w:r>
        <w:rPr>
          <w:color w:val="1F1F1F"/>
        </w:rPr>
        <w:t>Vendor Passport Intake — the frontend portal where vendors register, capture DPDP consent, and submit statutory details (GSTIN, PAN, CIN, bank, address).</w:t>
      </w:r>
    </w:p>
    <w:p>
      <w:pPr>
        <w:pStyle w:val="ListBullet"/>
        <w:spacing w:after="80"/>
        <w:ind w:left="403"/>
      </w:pPr>
      <w:r>
        <w:rPr>
          <w:color w:val="1F1F1F"/>
        </w:rPr>
        <w:t>Government Registry Verification Layer (GRVL) — an abstraction over third-party aggregator/GSP APIs that validates identity credentials in real time.</w:t>
      </w:r>
    </w:p>
    <w:p>
      <w:pPr>
        <w:pStyle w:val="ListBullet"/>
        <w:spacing w:after="80"/>
        <w:ind w:left="403"/>
      </w:pPr>
      <w:r>
        <w:rPr>
          <w:color w:val="1F1F1F"/>
        </w:rPr>
        <w:t>Continuous Monitoring Engine (CME) — a cron-driven queue worker that routinely re-checks the active vendor registry.</w:t>
      </w:r>
    </w:p>
    <w:p>
      <w:pPr>
        <w:pStyle w:val="ListBullet"/>
        <w:spacing w:after="80"/>
        <w:ind w:left="403"/>
      </w:pPr>
      <w:r>
        <w:rPr>
          <w:color w:val="1F1F1F"/>
        </w:rPr>
        <w:t>Alerting &amp; Audit Service — applies materiality filters, routes severity-classified alerts to the correct internal owner, and writes a tamper-proof audit trail.</w:t>
      </w:r>
    </w:p>
    <w:p>
      <w:pPr>
        <w:pStyle w:val="ListBullet"/>
        <w:spacing w:after="80"/>
        <w:ind w:left="403"/>
      </w:pPr>
      <w:r>
        <w:rPr>
          <w:color w:val="1F1F1F"/>
        </w:rPr>
        <w:t>ERP Integration Layer (EIL) — supports BOTH integration directions: it pushes verified data outbound to SAP (OData V4 on BTP API Management) and Oracle Fusion (REST) for buyers who want Pramaan to notify their ERP directly, AND it exposes a pull API (bulk + incremental) for buyers whose ERP would rather poll Pramaan on its own schedule, with no separate Pramaan portal to maintain. Also pulls buyer vendor-master baselines inbound at onboarding.</w:t>
      </w:r>
    </w:p>
    <w:p>
      <w:pPr>
        <w:jc w:val="center"/>
      </w:pPr>
      <w:r>
        <w:drawing>
          <wp:inline xmlns:a="http://schemas.openxmlformats.org/drawingml/2006/main" xmlns:pic="http://schemas.openxmlformats.org/drawingml/2006/picture">
            <wp:extent cx="5943600" cy="3359426"/>
            <wp:docPr id="1" name="Picture 1"/>
            <wp:cNvGraphicFramePr>
              <a:graphicFrameLocks noChangeAspect="1"/>
            </wp:cNvGraphicFramePr>
            <a:graphic>
              <a:graphicData uri="http://schemas.openxmlformats.org/drawingml/2006/picture">
                <pic:pic>
                  <pic:nvPicPr>
                    <pic:cNvPr id="0" name="implementation_architecture_diagram.png"/>
                    <pic:cNvPicPr/>
                  </pic:nvPicPr>
                  <pic:blipFill>
                    <a:blip r:embed="rId9"/>
                    <a:stretch>
                      <a:fillRect/>
                    </a:stretch>
                  </pic:blipFill>
                  <pic:spPr>
                    <a:xfrm>
                      <a:off x="0" y="0"/>
                      <a:ext cx="5943600" cy="3359426"/>
                    </a:xfrm>
                    <a:prstGeom prst="rect"/>
                  </pic:spPr>
                </pic:pic>
              </a:graphicData>
            </a:graphic>
          </wp:inline>
        </w:drawing>
      </w:r>
    </w:p>
    <w:p>
      <w:pPr>
        <w:jc w:val="center"/>
      </w:pPr>
      <w:r>
        <w:rPr>
          <w:i/>
          <w:color w:val="555555"/>
          <w:sz w:val="18"/>
        </w:rPr>
        <w:t>The five components hand work to each other in a loop: intake feeds verification, which feeds the shared database, which feeds continuous monitoring, which feeds alerting, which syncs to the ERP — and the ERP re-syncs the next baseline.</w:t>
      </w:r>
    </w:p>
    <w:p>
      <w:pPr>
        <w:pStyle w:val="Heading3"/>
      </w:pPr>
      <w:r>
        <w:t>Two Integration Patterns: Push vs. Pull</w:t>
      </w:r>
    </w:p>
    <w:p>
      <w:r>
        <w:rPr>
          <w:b w:val="0"/>
          <w:i w:val="0"/>
          <w:color w:val="1F1F1F"/>
        </w:rPr>
        <w:t>A buyer's ERP can consume Pramaan's data either of two ways — chosen per buyer, not hard-coded system-wide. Both patterns read from and write to the exact same underlying data (trust_passports, verification_records); only the direction of the network call differs.</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rPr>
          <w:cantSplit/>
        </w:trPr>
        <w:tc>
          <w:tcPr>
            <w:tcW w:type="dxa" w:w="1584"/>
            <w:shd w:val="clear" w:color="auto" w:fill="1F5C57"/>
          </w:tcPr>
          <w:p>
            <w:pPr>
              <w:spacing w:after="60"/>
            </w:pPr>
            <w:r>
              <w:rPr>
                <w:rFonts w:ascii="Calibri" w:hAnsi="Calibri"/>
                <w:color w:val="1F1F1F"/>
                <w:sz w:val="15"/>
              </w:rPr>
              <w:t>Pattern</w:t>
            </w:r>
          </w:p>
        </w:tc>
        <w:tc>
          <w:tcPr>
            <w:tcW w:type="dxa" w:w="2448"/>
            <w:shd w:val="clear" w:color="auto" w:fill="1F5C57"/>
          </w:tcPr>
          <w:p>
            <w:pPr>
              <w:spacing w:after="60"/>
            </w:pPr>
            <w:r>
              <w:rPr>
                <w:rFonts w:ascii="Calibri" w:hAnsi="Calibri"/>
                <w:color w:val="1F1F1F"/>
                <w:sz w:val="15"/>
              </w:rPr>
              <w:t>Who Initiates the Call</w:t>
            </w:r>
          </w:p>
        </w:tc>
        <w:tc>
          <w:tcPr>
            <w:tcW w:type="dxa" w:w="2736"/>
            <w:shd w:val="clear" w:color="auto" w:fill="1F5C57"/>
          </w:tcPr>
          <w:p>
            <w:pPr>
              <w:spacing w:after="60"/>
            </w:pPr>
            <w:r>
              <w:rPr>
                <w:rFonts w:ascii="Calibri" w:hAnsi="Calibri"/>
                <w:color w:val="1F1F1F"/>
                <w:sz w:val="15"/>
              </w:rPr>
              <w:t>Endpoints</w:t>
            </w:r>
          </w:p>
        </w:tc>
        <w:tc>
          <w:tcPr>
            <w:tcW w:type="dxa" w:w="2736"/>
            <w:shd w:val="clear" w:color="auto" w:fill="1F5C57"/>
          </w:tcPr>
          <w:p>
            <w:pPr>
              <w:spacing w:after="60"/>
            </w:pPr>
            <w:r>
              <w:rPr>
                <w:rFonts w:ascii="Calibri" w:hAnsi="Calibri"/>
                <w:color w:val="1F1F1F"/>
                <w:sz w:val="15"/>
              </w:rPr>
              <w:t>Best For</w:t>
            </w:r>
          </w:p>
        </w:tc>
      </w:tr>
      <w:tr>
        <w:trPr>
          <w:cantSplit/>
        </w:trPr>
        <w:tc>
          <w:tcPr>
            <w:tcW w:type="dxa" w:w="1584"/>
          </w:tcPr>
          <w:p>
            <w:pPr>
              <w:spacing w:after="60"/>
            </w:pPr>
            <w:r>
              <w:rPr>
                <w:rFonts w:ascii="Calibri" w:hAnsi="Calibri"/>
                <w:color w:val="1F1F1F"/>
                <w:sz w:val="15"/>
              </w:rPr>
              <w:t>Push (Outbound)</w:t>
            </w:r>
          </w:p>
        </w:tc>
        <w:tc>
          <w:tcPr>
            <w:tcW w:type="dxa" w:w="2448"/>
          </w:tcPr>
          <w:p>
            <w:pPr>
              <w:spacing w:after="60"/>
            </w:pPr>
            <w:r>
              <w:rPr>
                <w:rFonts w:ascii="Calibri" w:hAnsi="Calibri"/>
                <w:color w:val="1F1F1F"/>
                <w:sz w:val="15"/>
              </w:rPr>
              <w:t>Pramaan calls the ERP.</w:t>
            </w:r>
          </w:p>
        </w:tc>
        <w:tc>
          <w:tcPr>
            <w:tcW w:type="dxa" w:w="2736"/>
          </w:tcPr>
          <w:p>
            <w:pPr>
              <w:spacing w:after="60"/>
            </w:pPr>
            <w:r>
              <w:rPr>
                <w:rFonts w:ascii="Calibri" w:hAnsi="Calibri"/>
                <w:color w:val="1F1F1F"/>
                <w:sz w:val="15"/>
              </w:rPr>
              <w:t>Oracle Fusion Write-Back (Section 3.E), SAP BTP OData Write-Back (Section 3.F).</w:t>
            </w:r>
          </w:p>
        </w:tc>
        <w:tc>
          <w:tcPr>
            <w:tcW w:type="dxa" w:w="2736"/>
          </w:tcPr>
          <w:p>
            <w:pPr>
              <w:spacing w:after="60"/>
            </w:pPr>
            <w:r>
              <w:rPr>
                <w:rFonts w:ascii="Calibri" w:hAnsi="Calibri"/>
                <w:color w:val="1F1F1F"/>
                <w:sz w:val="15"/>
              </w:rPr>
              <w:t>Buyers who want near-real-time updates the moment something changes, and whose ERP exposes a write endpoint Pramaan is allowed to call directly.</w:t>
            </w:r>
          </w:p>
        </w:tc>
      </w:tr>
      <w:tr>
        <w:trPr>
          <w:cantSplit/>
        </w:trPr>
        <w:tc>
          <w:tcPr>
            <w:tcW w:type="dxa" w:w="1584"/>
          </w:tcPr>
          <w:p>
            <w:pPr>
              <w:spacing w:after="60"/>
            </w:pPr>
            <w:r>
              <w:rPr>
                <w:rFonts w:ascii="Calibri" w:hAnsi="Calibri"/>
                <w:color w:val="1F1F1F"/>
                <w:sz w:val="15"/>
              </w:rPr>
              <w:t>Pull (Inbound)</w:t>
            </w:r>
          </w:p>
        </w:tc>
        <w:tc>
          <w:tcPr>
            <w:tcW w:type="dxa" w:w="2448"/>
          </w:tcPr>
          <w:p>
            <w:pPr>
              <w:spacing w:after="60"/>
            </w:pPr>
            <w:r>
              <w:rPr>
                <w:rFonts w:ascii="Calibri" w:hAnsi="Calibri"/>
                <w:color w:val="1F1F1F"/>
                <w:sz w:val="15"/>
              </w:rPr>
              <w:t>The buyer's ERP calls Pramaan, on its own schedule.</w:t>
            </w:r>
          </w:p>
        </w:tc>
        <w:tc>
          <w:tcPr>
            <w:tcW w:type="dxa" w:w="2736"/>
          </w:tcPr>
          <w:p>
            <w:pPr>
              <w:spacing w:after="60"/>
            </w:pPr>
            <w:r>
              <w:rPr>
                <w:rFonts w:ascii="Calibri" w:hAnsi="Calibri"/>
                <w:color w:val="1F1F1F"/>
                <w:sz w:val="15"/>
              </w:rPr>
              <w:t>Bulk Vendor Pull (Section 3.G), Incremental Change Feed (Section 3.H).</w:t>
            </w:r>
          </w:p>
        </w:tc>
        <w:tc>
          <w:tcPr>
            <w:tcW w:type="dxa" w:w="2736"/>
          </w:tcPr>
          <w:p>
            <w:pPr>
              <w:spacing w:after="60"/>
            </w:pPr>
            <w:r>
              <w:rPr>
                <w:rFonts w:ascii="Calibri" w:hAnsi="Calibri"/>
                <w:color w:val="1F1F1F"/>
                <w:sz w:val="15"/>
              </w:rPr>
              <w:t>Buyers who don't want an external system (Pramaan) writing into their ERP directly — for firewall, security-review, or change-control reasons — and who would rather run their own scheduled pull job. No separate Pramaan portal to check manually; the ERP just absorbs the data on its own terms.</w:t>
            </w:r>
          </w:p>
        </w:tc>
      </w:tr>
    </w:tbl>
    <w:p>
      <w:pPr>
        <w:spacing w:after="40"/>
      </w:pPr>
    </w:p>
    <w:p>
      <w:r>
        <w:rPr>
          <w:b w:val="0"/>
          <w:i/>
          <w:color w:val="555555"/>
          <w:sz w:val="18"/>
        </w:rPr>
        <w:t>erp_connections.sync_direction (see the data model below) records which pattern is active for a given buyer: OUTBOUND means push-only, INBOUND means pull-only, TWO_WAY means both are enabled simultaneously (for example, push for urgent alerts, pull for routine bulk reconciliation).</w:t>
      </w:r>
    </w:p>
    <w:p>
      <w:pPr>
        <w:pStyle w:val="Heading3"/>
      </w:pPr>
      <w:r>
        <w:t>Shared Core vs. Tenant-Scoped Overlay</w:t>
      </w:r>
    </w:p>
    <w:p>
      <w:r>
        <w:rPr>
          <w:b w:val="0"/>
          <w:i w:val="0"/>
          <w:color w:val="1F1F1F"/>
        </w:rPr>
        <w:t>To optimize profile reuse across buyers while keeping buyer data strictly private, Pramaan splits its data model into two layers:</w:t>
      </w:r>
    </w:p>
    <w:p>
      <w:pPr>
        <w:pStyle w:val="ListBullet"/>
        <w:spacing w:after="80"/>
        <w:ind w:left="403"/>
      </w:pPr>
      <w:r>
        <w:rPr>
          <w:color w:val="1F1F1F"/>
        </w:rPr>
        <w:t>Shared Core — the primary, verified statutory identity data (verified GST status, verified MSME type). One record per vendor, full stop.</w:t>
      </w:r>
    </w:p>
    <w:p>
      <w:pPr>
        <w:pStyle w:val="ListBullet"/>
        <w:spacing w:after="80"/>
        <w:ind w:left="403"/>
      </w:pPr>
      <w:r>
        <w:rPr>
          <w:color w:val="1F1F1F"/>
        </w:rPr>
        <w:t>Tenant-Scoped Overlay — buyer-specific relationships (internal criticality tier, private performance notes, payment terms, contract references). Strictly partition-fenced at the database level, not just filtered in application code.</w:t>
      </w:r>
    </w:p>
    <w:p>
      <w:pPr>
        <w:pStyle w:val="Heading1"/>
      </w:pPr>
      <w:r>
        <w:t>2. Data Model, Tables &amp; Relationships</w:t>
      </w:r>
    </w:p>
    <w:p>
      <w:r>
        <w:rPr>
          <w:b w:val="0"/>
          <w:i w:val="0"/>
          <w:color w:val="1F1F1F"/>
        </w:rPr>
        <w:t>PostgreSQL is the system of record. Multi-tenancy is enforced with Row-Level Security (RLS) combined with application-level policies — never application logic alone. Ten core tables:</w:t>
      </w:r>
    </w:p>
    <w:p>
      <w:pPr>
        <w:pStyle w:val="Heading3"/>
      </w:pPr>
      <w:r>
        <w:t>vendors</w:t>
      </w:r>
    </w:p>
    <w:p>
      <w:r>
        <w:rPr>
          <w:b w:val="0"/>
          <w:i/>
          <w:color w:val="555555"/>
          <w:sz w:val="19"/>
        </w:rPr>
        <w:t>Shared-core anchor — one row per vendor company, no matter how many buyers work with them.</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rPr>
          <w:cantSplit/>
        </w:trPr>
        <w:tc>
          <w:tcPr>
            <w:tcW w:type="dxa" w:w="3312"/>
            <w:shd w:val="clear" w:color="auto" w:fill="1F5C57"/>
          </w:tcPr>
          <w:p>
            <w:pPr>
              <w:spacing w:after="60"/>
            </w:pPr>
            <w:r>
              <w:rPr>
                <w:rFonts w:ascii="Calibri" w:hAnsi="Calibri"/>
                <w:color w:val="1F1F1F"/>
                <w:sz w:val="16"/>
              </w:rPr>
              <w:t>Column</w:t>
            </w:r>
          </w:p>
        </w:tc>
        <w:tc>
          <w:tcPr>
            <w:tcW w:type="dxa" w:w="3024"/>
            <w:shd w:val="clear" w:color="auto" w:fill="1F5C57"/>
          </w:tcPr>
          <w:p>
            <w:pPr>
              <w:spacing w:after="60"/>
            </w:pPr>
            <w:r>
              <w:rPr>
                <w:rFonts w:ascii="Calibri" w:hAnsi="Calibri"/>
                <w:color w:val="1F1F1F"/>
                <w:sz w:val="16"/>
              </w:rPr>
              <w:t>Type</w:t>
            </w:r>
          </w:p>
        </w:tc>
        <w:tc>
          <w:tcPr>
            <w:tcW w:type="dxa" w:w="3024"/>
            <w:shd w:val="clear" w:color="auto" w:fill="1F5C57"/>
          </w:tcPr>
          <w:p>
            <w:pPr>
              <w:spacing w:after="60"/>
            </w:pPr>
            <w:r>
              <w:rPr>
                <w:rFonts w:ascii="Calibri" w:hAnsi="Calibri"/>
                <w:color w:val="1F1F1F"/>
                <w:sz w:val="16"/>
              </w:rPr>
              <w:t>Notes</w:t>
            </w:r>
          </w:p>
        </w:tc>
      </w:tr>
      <w:tr>
        <w:trPr>
          <w:cantSplit/>
        </w:trPr>
        <w:tc>
          <w:tcPr>
            <w:tcW w:type="dxa" w:w="3312"/>
          </w:tcPr>
          <w:p>
            <w:pPr>
              <w:spacing w:after="60"/>
            </w:pPr>
            <w:r>
              <w:rPr>
                <w:rFonts w:ascii="Calibri" w:hAnsi="Calibri"/>
                <w:color w:val="1F1F1F"/>
                <w:sz w:val="16"/>
              </w:rPr>
              <w:t>id</w:t>
            </w:r>
          </w:p>
        </w:tc>
        <w:tc>
          <w:tcPr>
            <w:tcW w:type="dxa" w:w="3024"/>
          </w:tcPr>
          <w:p>
            <w:pPr>
              <w:spacing w:after="60"/>
            </w:pPr>
            <w:r>
              <w:rPr>
                <w:rFonts w:ascii="Calibri" w:hAnsi="Calibri"/>
                <w:color w:val="1F1F1F"/>
                <w:sz w:val="16"/>
              </w:rPr>
              <w:t>UUID, PK</w:t>
            </w:r>
          </w:p>
        </w:tc>
        <w:tc>
          <w:tcPr>
            <w:tcW w:type="dxa" w:w="3024"/>
          </w:tcPr>
          <w:p>
            <w:pPr>
              <w:spacing w:after="60"/>
            </w:pPr>
            <w:r>
              <w:rPr>
                <w:rFonts w:ascii="Calibri" w:hAnsi="Calibri"/>
                <w:color w:val="1F1F1F"/>
                <w:sz w:val="16"/>
              </w:rPr>
              <w:t>gen_random_uuid()</w:t>
            </w:r>
          </w:p>
        </w:tc>
      </w:tr>
      <w:tr>
        <w:trPr>
          <w:cantSplit/>
        </w:trPr>
        <w:tc>
          <w:tcPr>
            <w:tcW w:type="dxa" w:w="3312"/>
          </w:tcPr>
          <w:p>
            <w:pPr>
              <w:spacing w:after="60"/>
            </w:pPr>
            <w:r>
              <w:rPr>
                <w:rFonts w:ascii="Calibri" w:hAnsi="Calibri"/>
                <w:color w:val="1F1F1F"/>
                <w:sz w:val="16"/>
              </w:rPr>
              <w:t>legal_name</w:t>
            </w:r>
          </w:p>
        </w:tc>
        <w:tc>
          <w:tcPr>
            <w:tcW w:type="dxa" w:w="3024"/>
          </w:tcPr>
          <w:p>
            <w:pPr>
              <w:spacing w:after="60"/>
            </w:pPr>
            <w:r>
              <w:rPr>
                <w:rFonts w:ascii="Calibri" w:hAnsi="Calibri"/>
                <w:color w:val="1F1F1F"/>
                <w:sz w:val="16"/>
              </w:rPr>
              <w:t>VARCHAR(255) NOT NULL</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vendor_type</w:t>
            </w:r>
          </w:p>
        </w:tc>
        <w:tc>
          <w:tcPr>
            <w:tcW w:type="dxa" w:w="3024"/>
          </w:tcPr>
          <w:p>
            <w:pPr>
              <w:spacing w:after="60"/>
            </w:pPr>
            <w:r>
              <w:rPr>
                <w:rFonts w:ascii="Calibri" w:hAnsi="Calibri"/>
                <w:color w:val="1F1F1F"/>
                <w:sz w:val="16"/>
              </w:rPr>
              <w:t>VARCHAR(50) NOT NULL</w:t>
            </w:r>
          </w:p>
        </w:tc>
        <w:tc>
          <w:tcPr>
            <w:tcW w:type="dxa" w:w="3024"/>
          </w:tcPr>
          <w:p>
            <w:pPr>
              <w:spacing w:after="60"/>
            </w:pPr>
            <w:r>
              <w:rPr>
                <w:rFonts w:ascii="Calibri" w:hAnsi="Calibri"/>
                <w:color w:val="1F1F1F"/>
                <w:sz w:val="16"/>
              </w:rPr>
              <w:t>Proprietary / Partnership / Private Limited</w:t>
            </w:r>
          </w:p>
        </w:tc>
      </w:tr>
      <w:tr>
        <w:trPr>
          <w:cantSplit/>
        </w:trPr>
        <w:tc>
          <w:tcPr>
            <w:tcW w:type="dxa" w:w="3312"/>
          </w:tcPr>
          <w:p>
            <w:pPr>
              <w:spacing w:after="60"/>
            </w:pPr>
            <w:r>
              <w:rPr>
                <w:rFonts w:ascii="Calibri" w:hAnsi="Calibri"/>
                <w:color w:val="1F1F1F"/>
                <w:sz w:val="16"/>
              </w:rPr>
              <w:t>created_at</w:t>
            </w:r>
          </w:p>
        </w:tc>
        <w:tc>
          <w:tcPr>
            <w:tcW w:type="dxa" w:w="3024"/>
          </w:tcPr>
          <w:p>
            <w:pPr>
              <w:spacing w:after="60"/>
            </w:pPr>
            <w:r>
              <w:rPr>
                <w:rFonts w:ascii="Calibri" w:hAnsi="Calibri"/>
                <w:color w:val="1F1F1F"/>
                <w:sz w:val="16"/>
              </w:rPr>
              <w:t>TIMESTAMPTZ NOT NULL</w:t>
            </w:r>
          </w:p>
        </w:tc>
        <w:tc>
          <w:tcPr>
            <w:tcW w:type="dxa" w:w="3024"/>
          </w:tcPr>
          <w:p>
            <w:pPr>
              <w:spacing w:after="60"/>
            </w:pPr>
            <w:r>
              <w:rPr>
                <w:rFonts w:ascii="Calibri" w:hAnsi="Calibri"/>
                <w:color w:val="1F1F1F"/>
                <w:sz w:val="16"/>
              </w:rPr>
              <w:t>default now</w:t>
            </w:r>
          </w:p>
        </w:tc>
      </w:tr>
    </w:tbl>
    <w:p>
      <w:pPr>
        <w:spacing w:after="40"/>
      </w:pPr>
    </w:p>
    <w:p>
      <w:pPr>
        <w:pStyle w:val="Heading3"/>
      </w:pPr>
      <w:r>
        <w:t>trust_passports</w:t>
      </w:r>
    </w:p>
    <w:p>
      <w:r>
        <w:rPr>
          <w:b w:val="0"/>
          <w:i/>
          <w:color w:val="555555"/>
          <w:sz w:val="19"/>
        </w:rPr>
        <w:t>The verified core: statutory identity + per-field verification timestamps.</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rPr>
          <w:cantSplit/>
        </w:trPr>
        <w:tc>
          <w:tcPr>
            <w:tcW w:type="dxa" w:w="3312"/>
            <w:shd w:val="clear" w:color="auto" w:fill="1F5C57"/>
          </w:tcPr>
          <w:p>
            <w:pPr>
              <w:spacing w:after="60"/>
            </w:pPr>
            <w:r>
              <w:rPr>
                <w:rFonts w:ascii="Calibri" w:hAnsi="Calibri"/>
                <w:color w:val="1F1F1F"/>
                <w:sz w:val="16"/>
              </w:rPr>
              <w:t>Column</w:t>
            </w:r>
          </w:p>
        </w:tc>
        <w:tc>
          <w:tcPr>
            <w:tcW w:type="dxa" w:w="3024"/>
            <w:shd w:val="clear" w:color="auto" w:fill="1F5C57"/>
          </w:tcPr>
          <w:p>
            <w:pPr>
              <w:spacing w:after="60"/>
            </w:pPr>
            <w:r>
              <w:rPr>
                <w:rFonts w:ascii="Calibri" w:hAnsi="Calibri"/>
                <w:color w:val="1F1F1F"/>
                <w:sz w:val="16"/>
              </w:rPr>
              <w:t>Type</w:t>
            </w:r>
          </w:p>
        </w:tc>
        <w:tc>
          <w:tcPr>
            <w:tcW w:type="dxa" w:w="3024"/>
            <w:shd w:val="clear" w:color="auto" w:fill="1F5C57"/>
          </w:tcPr>
          <w:p>
            <w:pPr>
              <w:spacing w:after="60"/>
            </w:pPr>
            <w:r>
              <w:rPr>
                <w:rFonts w:ascii="Calibri" w:hAnsi="Calibri"/>
                <w:color w:val="1F1F1F"/>
                <w:sz w:val="16"/>
              </w:rPr>
              <w:t>Notes</w:t>
            </w:r>
          </w:p>
        </w:tc>
      </w:tr>
      <w:tr>
        <w:trPr>
          <w:cantSplit/>
        </w:trPr>
        <w:tc>
          <w:tcPr>
            <w:tcW w:type="dxa" w:w="3312"/>
          </w:tcPr>
          <w:p>
            <w:pPr>
              <w:spacing w:after="60"/>
            </w:pPr>
            <w:r>
              <w:rPr>
                <w:rFonts w:ascii="Calibri" w:hAnsi="Calibri"/>
                <w:color w:val="1F1F1F"/>
                <w:sz w:val="16"/>
              </w:rPr>
              <w:t>id</w:t>
            </w:r>
          </w:p>
        </w:tc>
        <w:tc>
          <w:tcPr>
            <w:tcW w:type="dxa" w:w="3024"/>
          </w:tcPr>
          <w:p>
            <w:pPr>
              <w:spacing w:after="60"/>
            </w:pPr>
            <w:r>
              <w:rPr>
                <w:rFonts w:ascii="Calibri" w:hAnsi="Calibri"/>
                <w:color w:val="1F1F1F"/>
                <w:sz w:val="16"/>
              </w:rPr>
              <w:t>UUID, PK</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vendor_id</w:t>
            </w:r>
          </w:p>
        </w:tc>
        <w:tc>
          <w:tcPr>
            <w:tcW w:type="dxa" w:w="3024"/>
          </w:tcPr>
          <w:p>
            <w:pPr>
              <w:spacing w:after="60"/>
            </w:pPr>
            <w:r>
              <w:rPr>
                <w:rFonts w:ascii="Calibri" w:hAnsi="Calibri"/>
                <w:color w:val="1F1F1F"/>
                <w:sz w:val="16"/>
              </w:rPr>
              <w:t>UUID, FK → vendors(id)</w:t>
            </w:r>
          </w:p>
        </w:tc>
        <w:tc>
          <w:tcPr>
            <w:tcW w:type="dxa" w:w="3024"/>
          </w:tcPr>
          <w:p>
            <w:pPr>
              <w:spacing w:after="60"/>
            </w:pPr>
            <w:r>
              <w:rPr>
                <w:rFonts w:ascii="Calibri" w:hAnsi="Calibri"/>
                <w:color w:val="1F1F1F"/>
                <w:sz w:val="16"/>
              </w:rPr>
              <w:t>ON DELETE CASCADE</w:t>
            </w:r>
          </w:p>
        </w:tc>
      </w:tr>
      <w:tr>
        <w:trPr>
          <w:cantSplit/>
        </w:trPr>
        <w:tc>
          <w:tcPr>
            <w:tcW w:type="dxa" w:w="3312"/>
          </w:tcPr>
          <w:p>
            <w:pPr>
              <w:spacing w:after="60"/>
            </w:pPr>
            <w:r>
              <w:rPr>
                <w:rFonts w:ascii="Calibri" w:hAnsi="Calibri"/>
                <w:color w:val="1F1F1F"/>
                <w:sz w:val="16"/>
              </w:rPr>
              <w:t>gst_number</w:t>
            </w:r>
          </w:p>
        </w:tc>
        <w:tc>
          <w:tcPr>
            <w:tcW w:type="dxa" w:w="3024"/>
          </w:tcPr>
          <w:p>
            <w:pPr>
              <w:spacing w:after="60"/>
            </w:pPr>
            <w:r>
              <w:rPr>
                <w:rFonts w:ascii="Calibri" w:hAnsi="Calibri"/>
                <w:color w:val="1F1F1F"/>
                <w:sz w:val="16"/>
              </w:rPr>
              <w:t>VARCHAR(15), UNIQUE</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pan_number</w:t>
            </w:r>
          </w:p>
        </w:tc>
        <w:tc>
          <w:tcPr>
            <w:tcW w:type="dxa" w:w="3024"/>
          </w:tcPr>
          <w:p>
            <w:pPr>
              <w:spacing w:after="60"/>
            </w:pPr>
            <w:r>
              <w:rPr>
                <w:rFonts w:ascii="Calibri" w:hAnsi="Calibri"/>
                <w:color w:val="1F1F1F"/>
                <w:sz w:val="16"/>
              </w:rPr>
              <w:t>VARCHAR(10), UNIQUE</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cin</w:t>
            </w:r>
          </w:p>
        </w:tc>
        <w:tc>
          <w:tcPr>
            <w:tcW w:type="dxa" w:w="3024"/>
          </w:tcPr>
          <w:p>
            <w:pPr>
              <w:spacing w:after="60"/>
            </w:pPr>
            <w:r>
              <w:rPr>
                <w:rFonts w:ascii="Calibri" w:hAnsi="Calibri"/>
                <w:color w:val="1F1F1F"/>
                <w:sz w:val="16"/>
              </w:rPr>
              <w:t>VARCHAR(21), UNIQUE</w:t>
            </w:r>
          </w:p>
        </w:tc>
        <w:tc>
          <w:tcPr>
            <w:tcW w:type="dxa" w:w="3024"/>
          </w:tcPr>
          <w:p>
            <w:pPr>
              <w:spacing w:after="60"/>
            </w:pPr>
            <w:r>
              <w:rPr>
                <w:rFonts w:ascii="Calibri" w:hAnsi="Calibri"/>
                <w:color w:val="1F1F1F"/>
                <w:sz w:val="16"/>
              </w:rPr>
              <w:t>MCA Corporate Identity Number</w:t>
            </w:r>
          </w:p>
        </w:tc>
      </w:tr>
      <w:tr>
        <w:trPr>
          <w:cantSplit/>
        </w:trPr>
        <w:tc>
          <w:tcPr>
            <w:tcW w:type="dxa" w:w="3312"/>
          </w:tcPr>
          <w:p>
            <w:pPr>
              <w:spacing w:after="60"/>
            </w:pPr>
            <w:r>
              <w:rPr>
                <w:rFonts w:ascii="Calibri" w:hAnsi="Calibri"/>
                <w:color w:val="1F1F1F"/>
                <w:sz w:val="16"/>
              </w:rPr>
              <w:t>bank_account_num_encrypted</w:t>
            </w:r>
          </w:p>
        </w:tc>
        <w:tc>
          <w:tcPr>
            <w:tcW w:type="dxa" w:w="3024"/>
          </w:tcPr>
          <w:p>
            <w:pPr>
              <w:spacing w:after="60"/>
            </w:pPr>
            <w:r>
              <w:rPr>
                <w:rFonts w:ascii="Calibri" w:hAnsi="Calibri"/>
                <w:color w:val="1F1F1F"/>
                <w:sz w:val="16"/>
              </w:rPr>
              <w:t>BYTEA</w:t>
            </w:r>
          </w:p>
        </w:tc>
        <w:tc>
          <w:tcPr>
            <w:tcW w:type="dxa" w:w="3024"/>
          </w:tcPr>
          <w:p>
            <w:pPr>
              <w:spacing w:after="60"/>
            </w:pPr>
            <w:r>
              <w:rPr>
                <w:rFonts w:ascii="Calibri" w:hAnsi="Calibri"/>
                <w:color w:val="1F1F1F"/>
                <w:sz w:val="16"/>
              </w:rPr>
              <w:t>AES-256 encrypted</w:t>
            </w:r>
          </w:p>
        </w:tc>
      </w:tr>
      <w:tr>
        <w:trPr>
          <w:cantSplit/>
        </w:trPr>
        <w:tc>
          <w:tcPr>
            <w:tcW w:type="dxa" w:w="3312"/>
          </w:tcPr>
          <w:p>
            <w:pPr>
              <w:spacing w:after="60"/>
            </w:pPr>
            <w:r>
              <w:rPr>
                <w:rFonts w:ascii="Calibri" w:hAnsi="Calibri"/>
                <w:color w:val="1F1F1F"/>
                <w:sz w:val="16"/>
              </w:rPr>
              <w:t>bank_ifsc</w:t>
            </w:r>
          </w:p>
        </w:tc>
        <w:tc>
          <w:tcPr>
            <w:tcW w:type="dxa" w:w="3024"/>
          </w:tcPr>
          <w:p>
            <w:pPr>
              <w:spacing w:after="60"/>
            </w:pPr>
            <w:r>
              <w:rPr>
                <w:rFonts w:ascii="Calibri" w:hAnsi="Calibri"/>
                <w:color w:val="1F1F1F"/>
                <w:sz w:val="16"/>
              </w:rPr>
              <w:t>VARCHAR(11)</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registered_address</w:t>
            </w:r>
          </w:p>
        </w:tc>
        <w:tc>
          <w:tcPr>
            <w:tcW w:type="dxa" w:w="3024"/>
          </w:tcPr>
          <w:p>
            <w:pPr>
              <w:spacing w:after="60"/>
            </w:pPr>
            <w:r>
              <w:rPr>
                <w:rFonts w:ascii="Calibri" w:hAnsi="Calibri"/>
                <w:color w:val="1F1F1F"/>
                <w:sz w:val="16"/>
              </w:rPr>
              <w:t>JSONB NOT NULL</w:t>
            </w:r>
          </w:p>
        </w:tc>
        <w:tc>
          <w:tcPr>
            <w:tcW w:type="dxa" w:w="3024"/>
          </w:tcPr>
          <w:p>
            <w:pPr>
              <w:spacing w:after="60"/>
            </w:pPr>
            <w:r>
              <w:rPr>
                <w:rFonts w:ascii="Calibri" w:hAnsi="Calibri"/>
                <w:color w:val="1F1F1F"/>
                <w:sz w:val="16"/>
              </w:rPr>
              <w:t>structured address object</w:t>
            </w:r>
          </w:p>
        </w:tc>
      </w:tr>
      <w:tr>
        <w:trPr>
          <w:cantSplit/>
        </w:trPr>
        <w:tc>
          <w:tcPr>
            <w:tcW w:type="dxa" w:w="3312"/>
          </w:tcPr>
          <w:p>
            <w:pPr>
              <w:spacing w:after="60"/>
            </w:pPr>
            <w:r>
              <w:rPr>
                <w:rFonts w:ascii="Calibri" w:hAnsi="Calibri"/>
                <w:color w:val="1F1F1F"/>
                <w:sz w:val="16"/>
              </w:rPr>
              <w:t>msme_classification</w:t>
            </w:r>
          </w:p>
        </w:tc>
        <w:tc>
          <w:tcPr>
            <w:tcW w:type="dxa" w:w="3024"/>
          </w:tcPr>
          <w:p>
            <w:pPr>
              <w:spacing w:after="60"/>
            </w:pPr>
            <w:r>
              <w:rPr>
                <w:rFonts w:ascii="Calibri" w:hAnsi="Calibri"/>
                <w:color w:val="1F1F1F"/>
                <w:sz w:val="16"/>
              </w:rPr>
              <w:t>ENUM msme_tier NOT NULL</w:t>
            </w:r>
          </w:p>
        </w:tc>
        <w:tc>
          <w:tcPr>
            <w:tcW w:type="dxa" w:w="3024"/>
          </w:tcPr>
          <w:p>
            <w:pPr>
              <w:spacing w:after="60"/>
            </w:pPr>
            <w:r>
              <w:rPr>
                <w:rFonts w:ascii="Calibri" w:hAnsi="Calibri"/>
                <w:color w:val="1F1F1F"/>
                <w:sz w:val="16"/>
              </w:rPr>
              <w:t>MICRO / SMALL / MEDIUM / NOT_APPLICABLE</w:t>
            </w:r>
          </w:p>
        </w:tc>
      </w:tr>
      <w:tr>
        <w:trPr>
          <w:cantSplit/>
        </w:trPr>
        <w:tc>
          <w:tcPr>
            <w:tcW w:type="dxa" w:w="3312"/>
          </w:tcPr>
          <w:p>
            <w:pPr>
              <w:spacing w:after="60"/>
            </w:pPr>
            <w:r>
              <w:rPr>
                <w:rFonts w:ascii="Calibri" w:hAnsi="Calibri"/>
                <w:color w:val="1F1F1F"/>
                <w:sz w:val="16"/>
              </w:rPr>
              <w:t>udyam_registration_num</w:t>
            </w:r>
          </w:p>
        </w:tc>
        <w:tc>
          <w:tcPr>
            <w:tcW w:type="dxa" w:w="3024"/>
          </w:tcPr>
          <w:p>
            <w:pPr>
              <w:spacing w:after="60"/>
            </w:pPr>
            <w:r>
              <w:rPr>
                <w:rFonts w:ascii="Calibri" w:hAnsi="Calibri"/>
                <w:color w:val="1F1F1F"/>
                <w:sz w:val="16"/>
              </w:rPr>
              <w:t>VARCHAR(19), UNIQUE</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status</w:t>
            </w:r>
          </w:p>
        </w:tc>
        <w:tc>
          <w:tcPr>
            <w:tcW w:type="dxa" w:w="3024"/>
          </w:tcPr>
          <w:p>
            <w:pPr>
              <w:spacing w:after="60"/>
            </w:pPr>
            <w:r>
              <w:rPr>
                <w:rFonts w:ascii="Calibri" w:hAnsi="Calibri"/>
                <w:color w:val="1F1F1F"/>
                <w:sz w:val="16"/>
              </w:rPr>
              <w:t>ENUM vendor_status NOT NULL</w:t>
            </w:r>
          </w:p>
        </w:tc>
        <w:tc>
          <w:tcPr>
            <w:tcW w:type="dxa" w:w="3024"/>
          </w:tcPr>
          <w:p>
            <w:pPr>
              <w:spacing w:after="60"/>
            </w:pPr>
            <w:r>
              <w:rPr>
                <w:rFonts w:ascii="Calibri" w:hAnsi="Calibri"/>
                <w:color w:val="1F1F1F"/>
                <w:sz w:val="16"/>
              </w:rPr>
              <w:t>ACTIVE / SUSPENDED / DEREGISTERED / UNVERIFIED</w:t>
            </w:r>
          </w:p>
        </w:tc>
      </w:tr>
      <w:tr>
        <w:trPr>
          <w:cantSplit/>
        </w:trPr>
        <w:tc>
          <w:tcPr>
            <w:tcW w:type="dxa" w:w="3312"/>
          </w:tcPr>
          <w:p>
            <w:pPr>
              <w:spacing w:after="60"/>
            </w:pPr>
            <w:r>
              <w:rPr>
                <w:rFonts w:ascii="Calibri" w:hAnsi="Calibri"/>
                <w:color w:val="1F1F1F"/>
                <w:sz w:val="16"/>
              </w:rPr>
              <w:t>gst_last_verified_at / pan_last_verified_at / udyam_last_verified_at / bank_last_verified_at</w:t>
            </w:r>
          </w:p>
        </w:tc>
        <w:tc>
          <w:tcPr>
            <w:tcW w:type="dxa" w:w="3024"/>
          </w:tcPr>
          <w:p>
            <w:pPr>
              <w:spacing w:after="60"/>
            </w:pPr>
            <w:r>
              <w:rPr>
                <w:rFonts w:ascii="Calibri" w:hAnsi="Calibri"/>
                <w:color w:val="1F1F1F"/>
                <w:sz w:val="16"/>
              </w:rPr>
              <w:t>TIMESTAMPTZ</w:t>
            </w:r>
          </w:p>
        </w:tc>
        <w:tc>
          <w:tcPr>
            <w:tcW w:type="dxa" w:w="3024"/>
          </w:tcPr>
          <w:p>
            <w:pPr>
              <w:spacing w:after="60"/>
            </w:pPr>
            <w:r>
              <w:rPr>
                <w:rFonts w:ascii="Calibri" w:hAnsi="Calibri"/>
                <w:color w:val="1F1F1F"/>
                <w:sz w:val="16"/>
              </w:rPr>
              <w:t>per-field verification recency</w:t>
            </w:r>
          </w:p>
        </w:tc>
      </w:tr>
      <w:tr>
        <w:trPr>
          <w:cantSplit/>
        </w:trPr>
        <w:tc>
          <w:tcPr>
            <w:tcW w:type="dxa" w:w="3312"/>
          </w:tcPr>
          <w:p>
            <w:pPr>
              <w:spacing w:after="60"/>
            </w:pPr>
            <w:r>
              <w:rPr>
                <w:rFonts w:ascii="Calibri" w:hAnsi="Calibri"/>
                <w:color w:val="1F1F1F"/>
                <w:sz w:val="16"/>
              </w:rPr>
              <w:t>created_at / updated_at</w:t>
            </w:r>
          </w:p>
        </w:tc>
        <w:tc>
          <w:tcPr>
            <w:tcW w:type="dxa" w:w="3024"/>
          </w:tcPr>
          <w:p>
            <w:pPr>
              <w:spacing w:after="60"/>
            </w:pPr>
            <w:r>
              <w:rPr>
                <w:rFonts w:ascii="Calibri" w:hAnsi="Calibri"/>
                <w:color w:val="1F1F1F"/>
                <w:sz w:val="16"/>
              </w:rPr>
              <w:t>TIMESTAMPTZ NOT NULL</w:t>
            </w:r>
          </w:p>
        </w:tc>
        <w:tc>
          <w:tcPr>
            <w:tcW w:type="dxa" w:w="3024"/>
          </w:tcPr>
          <w:p>
            <w:pPr>
              <w:spacing w:after="60"/>
            </w:pPr>
            <w:r>
              <w:rPr>
                <w:rFonts w:ascii="Calibri" w:hAnsi="Calibri"/>
                <w:color w:val="1F1F1F"/>
                <w:sz w:val="16"/>
              </w:rPr>
            </w:r>
          </w:p>
        </w:tc>
      </w:tr>
    </w:tbl>
    <w:p>
      <w:pPr>
        <w:spacing w:after="40"/>
      </w:pPr>
    </w:p>
    <w:p>
      <w:pPr>
        <w:pStyle w:val="Heading3"/>
      </w:pPr>
      <w:r>
        <w:t>verification_records</w:t>
      </w:r>
    </w:p>
    <w:p>
      <w:r>
        <w:rPr>
          <w:b w:val="0"/>
          <w:i/>
          <w:color w:val="555555"/>
          <w:sz w:val="19"/>
        </w:rPr>
        <w:t>Immutable proof log — every government check ever run, and what it returned.</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rPr>
          <w:cantSplit/>
        </w:trPr>
        <w:tc>
          <w:tcPr>
            <w:tcW w:type="dxa" w:w="3312"/>
            <w:shd w:val="clear" w:color="auto" w:fill="1F5C57"/>
          </w:tcPr>
          <w:p>
            <w:pPr>
              <w:spacing w:after="60"/>
            </w:pPr>
            <w:r>
              <w:rPr>
                <w:rFonts w:ascii="Calibri" w:hAnsi="Calibri"/>
                <w:color w:val="1F1F1F"/>
                <w:sz w:val="16"/>
              </w:rPr>
              <w:t>Column</w:t>
            </w:r>
          </w:p>
        </w:tc>
        <w:tc>
          <w:tcPr>
            <w:tcW w:type="dxa" w:w="3024"/>
            <w:shd w:val="clear" w:color="auto" w:fill="1F5C57"/>
          </w:tcPr>
          <w:p>
            <w:pPr>
              <w:spacing w:after="60"/>
            </w:pPr>
            <w:r>
              <w:rPr>
                <w:rFonts w:ascii="Calibri" w:hAnsi="Calibri"/>
                <w:color w:val="1F1F1F"/>
                <w:sz w:val="16"/>
              </w:rPr>
              <w:t>Type</w:t>
            </w:r>
          </w:p>
        </w:tc>
        <w:tc>
          <w:tcPr>
            <w:tcW w:type="dxa" w:w="3024"/>
            <w:shd w:val="clear" w:color="auto" w:fill="1F5C57"/>
          </w:tcPr>
          <w:p>
            <w:pPr>
              <w:spacing w:after="60"/>
            </w:pPr>
            <w:r>
              <w:rPr>
                <w:rFonts w:ascii="Calibri" w:hAnsi="Calibri"/>
                <w:color w:val="1F1F1F"/>
                <w:sz w:val="16"/>
              </w:rPr>
              <w:t>Notes</w:t>
            </w:r>
          </w:p>
        </w:tc>
      </w:tr>
      <w:tr>
        <w:trPr>
          <w:cantSplit/>
        </w:trPr>
        <w:tc>
          <w:tcPr>
            <w:tcW w:type="dxa" w:w="3312"/>
          </w:tcPr>
          <w:p>
            <w:pPr>
              <w:spacing w:after="60"/>
            </w:pPr>
            <w:r>
              <w:rPr>
                <w:rFonts w:ascii="Calibri" w:hAnsi="Calibri"/>
                <w:color w:val="1F1F1F"/>
                <w:sz w:val="16"/>
              </w:rPr>
              <w:t>id</w:t>
            </w:r>
          </w:p>
        </w:tc>
        <w:tc>
          <w:tcPr>
            <w:tcW w:type="dxa" w:w="3024"/>
          </w:tcPr>
          <w:p>
            <w:pPr>
              <w:spacing w:after="60"/>
            </w:pPr>
            <w:r>
              <w:rPr>
                <w:rFonts w:ascii="Calibri" w:hAnsi="Calibri"/>
                <w:color w:val="1F1F1F"/>
                <w:sz w:val="16"/>
              </w:rPr>
              <w:t>UUID, PK</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passport_id</w:t>
            </w:r>
          </w:p>
        </w:tc>
        <w:tc>
          <w:tcPr>
            <w:tcW w:type="dxa" w:w="3024"/>
          </w:tcPr>
          <w:p>
            <w:pPr>
              <w:spacing w:after="60"/>
            </w:pPr>
            <w:r>
              <w:rPr>
                <w:rFonts w:ascii="Calibri" w:hAnsi="Calibri"/>
                <w:color w:val="1F1F1F"/>
                <w:sz w:val="16"/>
              </w:rPr>
              <w:t>UUID, FK → trust_passports(id)</w:t>
            </w:r>
          </w:p>
        </w:tc>
        <w:tc>
          <w:tcPr>
            <w:tcW w:type="dxa" w:w="3024"/>
          </w:tcPr>
          <w:p>
            <w:pPr>
              <w:spacing w:after="60"/>
            </w:pPr>
            <w:r>
              <w:rPr>
                <w:rFonts w:ascii="Calibri" w:hAnsi="Calibri"/>
                <w:color w:val="1F1F1F"/>
                <w:sz w:val="16"/>
              </w:rPr>
              <w:t>ON DELETE CASCADE</w:t>
            </w:r>
          </w:p>
        </w:tc>
      </w:tr>
      <w:tr>
        <w:trPr>
          <w:cantSplit/>
        </w:trPr>
        <w:tc>
          <w:tcPr>
            <w:tcW w:type="dxa" w:w="3312"/>
          </w:tcPr>
          <w:p>
            <w:pPr>
              <w:spacing w:after="60"/>
            </w:pPr>
            <w:r>
              <w:rPr>
                <w:rFonts w:ascii="Calibri" w:hAnsi="Calibri"/>
                <w:color w:val="1F1F1F"/>
                <w:sz w:val="16"/>
              </w:rPr>
              <w:t>field_name</w:t>
            </w:r>
          </w:p>
        </w:tc>
        <w:tc>
          <w:tcPr>
            <w:tcW w:type="dxa" w:w="3024"/>
          </w:tcPr>
          <w:p>
            <w:pPr>
              <w:spacing w:after="60"/>
            </w:pPr>
            <w:r>
              <w:rPr>
                <w:rFonts w:ascii="Calibri" w:hAnsi="Calibri"/>
                <w:color w:val="1F1F1F"/>
                <w:sz w:val="16"/>
              </w:rPr>
              <w:t>VARCHAR(50) NOT NULL</w:t>
            </w:r>
          </w:p>
        </w:tc>
        <w:tc>
          <w:tcPr>
            <w:tcW w:type="dxa" w:w="3024"/>
          </w:tcPr>
          <w:p>
            <w:pPr>
              <w:spacing w:after="60"/>
            </w:pPr>
            <w:r>
              <w:rPr>
                <w:rFonts w:ascii="Calibri" w:hAnsi="Calibri"/>
                <w:color w:val="1F1F1F"/>
                <w:sz w:val="16"/>
              </w:rPr>
              <w:t>gst_number / pan_number / bank_account / udyam</w:t>
            </w:r>
          </w:p>
        </w:tc>
      </w:tr>
      <w:tr>
        <w:trPr>
          <w:cantSplit/>
        </w:trPr>
        <w:tc>
          <w:tcPr>
            <w:tcW w:type="dxa" w:w="3312"/>
          </w:tcPr>
          <w:p>
            <w:pPr>
              <w:spacing w:after="60"/>
            </w:pPr>
            <w:r>
              <w:rPr>
                <w:rFonts w:ascii="Calibri" w:hAnsi="Calibri"/>
                <w:color w:val="1F1F1F"/>
                <w:sz w:val="16"/>
              </w:rPr>
              <w:t>source_registry</w:t>
            </w:r>
          </w:p>
        </w:tc>
        <w:tc>
          <w:tcPr>
            <w:tcW w:type="dxa" w:w="3024"/>
          </w:tcPr>
          <w:p>
            <w:pPr>
              <w:spacing w:after="60"/>
            </w:pPr>
            <w:r>
              <w:rPr>
                <w:rFonts w:ascii="Calibri" w:hAnsi="Calibri"/>
                <w:color w:val="1F1F1F"/>
                <w:sz w:val="16"/>
              </w:rPr>
              <w:t>VARCHAR(50) NOT NULL</w:t>
            </w:r>
          </w:p>
        </w:tc>
        <w:tc>
          <w:tcPr>
            <w:tcW w:type="dxa" w:w="3024"/>
          </w:tcPr>
          <w:p>
            <w:pPr>
              <w:spacing w:after="60"/>
            </w:pPr>
            <w:r>
              <w:rPr>
                <w:rFonts w:ascii="Calibri" w:hAnsi="Calibri"/>
                <w:color w:val="1F1F1F"/>
                <w:sz w:val="16"/>
              </w:rPr>
              <w:t>GSTN / PROTEAN / UDYAM / MCA</w:t>
            </w:r>
          </w:p>
        </w:tc>
      </w:tr>
      <w:tr>
        <w:trPr>
          <w:cantSplit/>
        </w:trPr>
        <w:tc>
          <w:tcPr>
            <w:tcW w:type="dxa" w:w="3312"/>
          </w:tcPr>
          <w:p>
            <w:pPr>
              <w:spacing w:after="60"/>
            </w:pPr>
            <w:r>
              <w:rPr>
                <w:rFonts w:ascii="Calibri" w:hAnsi="Calibri"/>
                <w:color w:val="1F1F1F"/>
                <w:sz w:val="16"/>
              </w:rPr>
              <w:t>source_provider</w:t>
            </w:r>
          </w:p>
        </w:tc>
        <w:tc>
          <w:tcPr>
            <w:tcW w:type="dxa" w:w="3024"/>
          </w:tcPr>
          <w:p>
            <w:pPr>
              <w:spacing w:after="60"/>
            </w:pPr>
            <w:r>
              <w:rPr>
                <w:rFonts w:ascii="Calibri" w:hAnsi="Calibri"/>
                <w:color w:val="1F1F1F"/>
                <w:sz w:val="16"/>
              </w:rPr>
              <w:t>VARCHAR(50) NOT NULL</w:t>
            </w:r>
          </w:p>
        </w:tc>
        <w:tc>
          <w:tcPr>
            <w:tcW w:type="dxa" w:w="3024"/>
          </w:tcPr>
          <w:p>
            <w:pPr>
              <w:spacing w:after="60"/>
            </w:pPr>
            <w:r>
              <w:rPr>
                <w:rFonts w:ascii="Calibri" w:hAnsi="Calibri"/>
                <w:color w:val="1F1F1F"/>
                <w:sz w:val="16"/>
              </w:rPr>
              <w:t>eKYCNow / AuthBridge / etc.</w:t>
            </w:r>
          </w:p>
        </w:tc>
      </w:tr>
      <w:tr>
        <w:trPr>
          <w:cantSplit/>
        </w:trPr>
        <w:tc>
          <w:tcPr>
            <w:tcW w:type="dxa" w:w="3312"/>
          </w:tcPr>
          <w:p>
            <w:pPr>
              <w:spacing w:after="60"/>
            </w:pPr>
            <w:r>
              <w:rPr>
                <w:rFonts w:ascii="Calibri" w:hAnsi="Calibri"/>
                <w:color w:val="1F1F1F"/>
                <w:sz w:val="16"/>
              </w:rPr>
              <w:t>verified_value</w:t>
            </w:r>
          </w:p>
        </w:tc>
        <w:tc>
          <w:tcPr>
            <w:tcW w:type="dxa" w:w="3024"/>
          </w:tcPr>
          <w:p>
            <w:pPr>
              <w:spacing w:after="60"/>
            </w:pPr>
            <w:r>
              <w:rPr>
                <w:rFonts w:ascii="Calibri" w:hAnsi="Calibri"/>
                <w:color w:val="1F1F1F"/>
                <w:sz w:val="16"/>
              </w:rPr>
              <w:t>JSONB NOT NULL</w:t>
            </w:r>
          </w:p>
        </w:tc>
        <w:tc>
          <w:tcPr>
            <w:tcW w:type="dxa" w:w="3024"/>
          </w:tcPr>
          <w:p>
            <w:pPr>
              <w:spacing w:after="60"/>
            </w:pPr>
            <w:r>
              <w:rPr>
                <w:rFonts w:ascii="Calibri" w:hAnsi="Calibri"/>
                <w:color w:val="1F1F1F"/>
                <w:sz w:val="16"/>
              </w:rPr>
              <w:t>raw verified dataset from registry</w:t>
            </w:r>
          </w:p>
        </w:tc>
      </w:tr>
      <w:tr>
        <w:trPr>
          <w:cantSplit/>
        </w:trPr>
        <w:tc>
          <w:tcPr>
            <w:tcW w:type="dxa" w:w="3312"/>
          </w:tcPr>
          <w:p>
            <w:pPr>
              <w:spacing w:after="60"/>
            </w:pPr>
            <w:r>
              <w:rPr>
                <w:rFonts w:ascii="Calibri" w:hAnsi="Calibri"/>
                <w:color w:val="1F1F1F"/>
                <w:sz w:val="16"/>
              </w:rPr>
              <w:t>status</w:t>
            </w:r>
          </w:p>
        </w:tc>
        <w:tc>
          <w:tcPr>
            <w:tcW w:type="dxa" w:w="3024"/>
          </w:tcPr>
          <w:p>
            <w:pPr>
              <w:spacing w:after="60"/>
            </w:pPr>
            <w:r>
              <w:rPr>
                <w:rFonts w:ascii="Calibri" w:hAnsi="Calibri"/>
                <w:color w:val="1F1F1F"/>
                <w:sz w:val="16"/>
              </w:rPr>
              <w:t>VARCHAR(50) NOT NULL</w:t>
            </w:r>
          </w:p>
        </w:tc>
        <w:tc>
          <w:tcPr>
            <w:tcW w:type="dxa" w:w="3024"/>
          </w:tcPr>
          <w:p>
            <w:pPr>
              <w:spacing w:after="60"/>
            </w:pPr>
            <w:r>
              <w:rPr>
                <w:rFonts w:ascii="Calibri" w:hAnsi="Calibri"/>
                <w:color w:val="1F1F1F"/>
                <w:sz w:val="16"/>
              </w:rPr>
              <w:t>VALID / INVALID / DEGRADED</w:t>
            </w:r>
          </w:p>
        </w:tc>
      </w:tr>
      <w:tr>
        <w:trPr>
          <w:cantSplit/>
        </w:trPr>
        <w:tc>
          <w:tcPr>
            <w:tcW w:type="dxa" w:w="3312"/>
          </w:tcPr>
          <w:p>
            <w:pPr>
              <w:spacing w:after="60"/>
            </w:pPr>
            <w:r>
              <w:rPr>
                <w:rFonts w:ascii="Calibri" w:hAnsi="Calibri"/>
                <w:color w:val="1F1F1F"/>
                <w:sz w:val="16"/>
              </w:rPr>
              <w:t>verified_at</w:t>
            </w:r>
          </w:p>
        </w:tc>
        <w:tc>
          <w:tcPr>
            <w:tcW w:type="dxa" w:w="3024"/>
          </w:tcPr>
          <w:p>
            <w:pPr>
              <w:spacing w:after="60"/>
            </w:pPr>
            <w:r>
              <w:rPr>
                <w:rFonts w:ascii="Calibri" w:hAnsi="Calibri"/>
                <w:color w:val="1F1F1F"/>
                <w:sz w:val="16"/>
              </w:rPr>
              <w:t>TIMESTAMPTZ NOT NULL</w:t>
            </w:r>
          </w:p>
        </w:tc>
        <w:tc>
          <w:tcPr>
            <w:tcW w:type="dxa" w:w="3024"/>
          </w:tcPr>
          <w:p>
            <w:pPr>
              <w:spacing w:after="60"/>
            </w:pPr>
            <w:r>
              <w:rPr>
                <w:rFonts w:ascii="Calibri" w:hAnsi="Calibri"/>
                <w:color w:val="1F1F1F"/>
                <w:sz w:val="16"/>
              </w:rPr>
              <w:t>default now</w:t>
            </w:r>
          </w:p>
        </w:tc>
      </w:tr>
    </w:tbl>
    <w:p>
      <w:pPr>
        <w:spacing w:after="40"/>
      </w:pPr>
    </w:p>
    <w:p>
      <w:pPr>
        <w:pStyle w:val="Heading3"/>
      </w:pPr>
      <w:r>
        <w:t>buyers</w:t>
      </w:r>
    </w:p>
    <w:p>
      <w:r>
        <w:rPr>
          <w:b w:val="0"/>
          <w:i/>
          <w:color w:val="555555"/>
          <w:sz w:val="19"/>
        </w:rPr>
        <w:t>One row per tenant company using Pramaan.</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rPr>
          <w:cantSplit/>
        </w:trPr>
        <w:tc>
          <w:tcPr>
            <w:tcW w:type="dxa" w:w="3312"/>
            <w:shd w:val="clear" w:color="auto" w:fill="1F5C57"/>
          </w:tcPr>
          <w:p>
            <w:pPr>
              <w:spacing w:after="60"/>
            </w:pPr>
            <w:r>
              <w:rPr>
                <w:rFonts w:ascii="Calibri" w:hAnsi="Calibri"/>
                <w:color w:val="1F1F1F"/>
                <w:sz w:val="16"/>
              </w:rPr>
              <w:t>Column</w:t>
            </w:r>
          </w:p>
        </w:tc>
        <w:tc>
          <w:tcPr>
            <w:tcW w:type="dxa" w:w="3024"/>
            <w:shd w:val="clear" w:color="auto" w:fill="1F5C57"/>
          </w:tcPr>
          <w:p>
            <w:pPr>
              <w:spacing w:after="60"/>
            </w:pPr>
            <w:r>
              <w:rPr>
                <w:rFonts w:ascii="Calibri" w:hAnsi="Calibri"/>
                <w:color w:val="1F1F1F"/>
                <w:sz w:val="16"/>
              </w:rPr>
              <w:t>Type</w:t>
            </w:r>
          </w:p>
        </w:tc>
        <w:tc>
          <w:tcPr>
            <w:tcW w:type="dxa" w:w="3024"/>
            <w:shd w:val="clear" w:color="auto" w:fill="1F5C57"/>
          </w:tcPr>
          <w:p>
            <w:pPr>
              <w:spacing w:after="60"/>
            </w:pPr>
            <w:r>
              <w:rPr>
                <w:rFonts w:ascii="Calibri" w:hAnsi="Calibri"/>
                <w:color w:val="1F1F1F"/>
                <w:sz w:val="16"/>
              </w:rPr>
              <w:t>Notes</w:t>
            </w:r>
          </w:p>
        </w:tc>
      </w:tr>
      <w:tr>
        <w:trPr>
          <w:cantSplit/>
        </w:trPr>
        <w:tc>
          <w:tcPr>
            <w:tcW w:type="dxa" w:w="3312"/>
          </w:tcPr>
          <w:p>
            <w:pPr>
              <w:spacing w:after="60"/>
            </w:pPr>
            <w:r>
              <w:rPr>
                <w:rFonts w:ascii="Calibri" w:hAnsi="Calibri"/>
                <w:color w:val="1F1F1F"/>
                <w:sz w:val="16"/>
              </w:rPr>
              <w:t>id</w:t>
            </w:r>
          </w:p>
        </w:tc>
        <w:tc>
          <w:tcPr>
            <w:tcW w:type="dxa" w:w="3024"/>
          </w:tcPr>
          <w:p>
            <w:pPr>
              <w:spacing w:after="60"/>
            </w:pPr>
            <w:r>
              <w:rPr>
                <w:rFonts w:ascii="Calibri" w:hAnsi="Calibri"/>
                <w:color w:val="1F1F1F"/>
                <w:sz w:val="16"/>
              </w:rPr>
              <w:t>UUID, PK</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org_name</w:t>
            </w:r>
          </w:p>
        </w:tc>
        <w:tc>
          <w:tcPr>
            <w:tcW w:type="dxa" w:w="3024"/>
          </w:tcPr>
          <w:p>
            <w:pPr>
              <w:spacing w:after="60"/>
            </w:pPr>
            <w:r>
              <w:rPr>
                <w:rFonts w:ascii="Calibri" w:hAnsi="Calibri"/>
                <w:color w:val="1F1F1F"/>
                <w:sz w:val="16"/>
              </w:rPr>
              <w:t>VARCHAR(255) NOT NULL</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erp_type</w:t>
            </w:r>
          </w:p>
        </w:tc>
        <w:tc>
          <w:tcPr>
            <w:tcW w:type="dxa" w:w="3024"/>
          </w:tcPr>
          <w:p>
            <w:pPr>
              <w:spacing w:after="60"/>
            </w:pPr>
            <w:r>
              <w:rPr>
                <w:rFonts w:ascii="Calibri" w:hAnsi="Calibri"/>
                <w:color w:val="1F1F1F"/>
                <w:sz w:val="16"/>
              </w:rPr>
              <w:t>ENUM erp_provider NOT NULL</w:t>
            </w:r>
          </w:p>
        </w:tc>
        <w:tc>
          <w:tcPr>
            <w:tcW w:type="dxa" w:w="3024"/>
          </w:tcPr>
          <w:p>
            <w:pPr>
              <w:spacing w:after="60"/>
            </w:pPr>
            <w:r>
              <w:rPr>
                <w:rFonts w:ascii="Calibri" w:hAnsi="Calibri"/>
                <w:color w:val="1F1F1F"/>
                <w:sz w:val="16"/>
              </w:rPr>
              <w:t>SAP_ARIBA / ORACLE_FUSION / NETSUITE / STANDALONE</w:t>
            </w:r>
          </w:p>
        </w:tc>
      </w:tr>
      <w:tr>
        <w:trPr>
          <w:cantSplit/>
        </w:trPr>
        <w:tc>
          <w:tcPr>
            <w:tcW w:type="dxa" w:w="3312"/>
          </w:tcPr>
          <w:p>
            <w:pPr>
              <w:spacing w:after="60"/>
            </w:pPr>
            <w:r>
              <w:rPr>
                <w:rFonts w:ascii="Calibri" w:hAnsi="Calibri"/>
                <w:color w:val="1F1F1F"/>
                <w:sz w:val="16"/>
              </w:rPr>
              <w:t>created_at</w:t>
            </w:r>
          </w:p>
        </w:tc>
        <w:tc>
          <w:tcPr>
            <w:tcW w:type="dxa" w:w="3024"/>
          </w:tcPr>
          <w:p>
            <w:pPr>
              <w:spacing w:after="60"/>
            </w:pPr>
            <w:r>
              <w:rPr>
                <w:rFonts w:ascii="Calibri" w:hAnsi="Calibri"/>
                <w:color w:val="1F1F1F"/>
                <w:sz w:val="16"/>
              </w:rPr>
              <w:t>TIMESTAMPTZ NOT NULL</w:t>
            </w:r>
          </w:p>
        </w:tc>
        <w:tc>
          <w:tcPr>
            <w:tcW w:type="dxa" w:w="3024"/>
          </w:tcPr>
          <w:p>
            <w:pPr>
              <w:spacing w:after="60"/>
            </w:pPr>
            <w:r>
              <w:rPr>
                <w:rFonts w:ascii="Calibri" w:hAnsi="Calibri"/>
                <w:color w:val="1F1F1F"/>
                <w:sz w:val="16"/>
              </w:rPr>
            </w:r>
          </w:p>
        </w:tc>
      </w:tr>
    </w:tbl>
    <w:p>
      <w:pPr>
        <w:spacing w:after="40"/>
      </w:pPr>
    </w:p>
    <w:p>
      <w:pPr>
        <w:pStyle w:val="Heading3"/>
      </w:pPr>
      <w:r>
        <w:t>users</w:t>
      </w:r>
    </w:p>
    <w:p>
      <w:r>
        <w:rPr>
          <w:b w:val="0"/>
          <w:i/>
          <w:color w:val="555555"/>
          <w:sz w:val="19"/>
        </w:rPr>
        <w:t>One row per login-capable identity. role is set exactly once, at INSERT, and is protected by a database trigger that blocks any later UPDATE to it — a role can never change on an existing account, only by creating a new one.</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rPr>
          <w:cantSplit/>
        </w:trPr>
        <w:tc>
          <w:tcPr>
            <w:tcW w:type="dxa" w:w="3312"/>
            <w:shd w:val="clear" w:color="auto" w:fill="1F5C57"/>
          </w:tcPr>
          <w:p>
            <w:pPr>
              <w:spacing w:after="60"/>
            </w:pPr>
            <w:r>
              <w:rPr>
                <w:rFonts w:ascii="Calibri" w:hAnsi="Calibri"/>
                <w:color w:val="1F1F1F"/>
                <w:sz w:val="16"/>
              </w:rPr>
              <w:t>Column</w:t>
            </w:r>
          </w:p>
        </w:tc>
        <w:tc>
          <w:tcPr>
            <w:tcW w:type="dxa" w:w="3024"/>
            <w:shd w:val="clear" w:color="auto" w:fill="1F5C57"/>
          </w:tcPr>
          <w:p>
            <w:pPr>
              <w:spacing w:after="60"/>
            </w:pPr>
            <w:r>
              <w:rPr>
                <w:rFonts w:ascii="Calibri" w:hAnsi="Calibri"/>
                <w:color w:val="1F1F1F"/>
                <w:sz w:val="16"/>
              </w:rPr>
              <w:t>Type</w:t>
            </w:r>
          </w:p>
        </w:tc>
        <w:tc>
          <w:tcPr>
            <w:tcW w:type="dxa" w:w="3024"/>
            <w:shd w:val="clear" w:color="auto" w:fill="1F5C57"/>
          </w:tcPr>
          <w:p>
            <w:pPr>
              <w:spacing w:after="60"/>
            </w:pPr>
            <w:r>
              <w:rPr>
                <w:rFonts w:ascii="Calibri" w:hAnsi="Calibri"/>
                <w:color w:val="1F1F1F"/>
                <w:sz w:val="16"/>
              </w:rPr>
              <w:t>Notes</w:t>
            </w:r>
          </w:p>
        </w:tc>
      </w:tr>
      <w:tr>
        <w:trPr>
          <w:cantSplit/>
        </w:trPr>
        <w:tc>
          <w:tcPr>
            <w:tcW w:type="dxa" w:w="3312"/>
          </w:tcPr>
          <w:p>
            <w:pPr>
              <w:spacing w:after="60"/>
            </w:pPr>
            <w:r>
              <w:rPr>
                <w:rFonts w:ascii="Calibri" w:hAnsi="Calibri"/>
                <w:color w:val="1F1F1F"/>
                <w:sz w:val="16"/>
              </w:rPr>
              <w:t>id</w:t>
            </w:r>
          </w:p>
        </w:tc>
        <w:tc>
          <w:tcPr>
            <w:tcW w:type="dxa" w:w="3024"/>
          </w:tcPr>
          <w:p>
            <w:pPr>
              <w:spacing w:after="60"/>
            </w:pPr>
            <w:r>
              <w:rPr>
                <w:rFonts w:ascii="Calibri" w:hAnsi="Calibri"/>
                <w:color w:val="1F1F1F"/>
                <w:sz w:val="16"/>
              </w:rPr>
              <w:t>UUID, PK</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email</w:t>
            </w:r>
          </w:p>
        </w:tc>
        <w:tc>
          <w:tcPr>
            <w:tcW w:type="dxa" w:w="3024"/>
          </w:tcPr>
          <w:p>
            <w:pPr>
              <w:spacing w:after="60"/>
            </w:pPr>
            <w:r>
              <w:rPr>
                <w:rFonts w:ascii="Calibri" w:hAnsi="Calibri"/>
                <w:color w:val="1F1F1F"/>
                <w:sz w:val="16"/>
              </w:rPr>
              <w:t>VARCHAR(255) NOT NULL, UNIQUE</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password_hash / sso_subject</w:t>
            </w:r>
          </w:p>
        </w:tc>
        <w:tc>
          <w:tcPr>
            <w:tcW w:type="dxa" w:w="3024"/>
          </w:tcPr>
          <w:p>
            <w:pPr>
              <w:spacing w:after="60"/>
            </w:pPr>
            <w:r>
              <w:rPr>
                <w:rFonts w:ascii="Calibri" w:hAnsi="Calibri"/>
                <w:color w:val="1F1F1F"/>
                <w:sz w:val="16"/>
              </w:rPr>
              <w:t>VARCHAR(255)</w:t>
            </w:r>
          </w:p>
        </w:tc>
        <w:tc>
          <w:tcPr>
            <w:tcW w:type="dxa" w:w="3024"/>
          </w:tcPr>
          <w:p>
            <w:pPr>
              <w:spacing w:after="60"/>
            </w:pPr>
            <w:r>
              <w:rPr>
                <w:rFonts w:ascii="Calibri" w:hAnsi="Calibri"/>
                <w:color w:val="1F1F1F"/>
                <w:sz w:val="16"/>
              </w:rPr>
              <w:t>local credential hash, or federated SSO subject id</w:t>
            </w:r>
          </w:p>
        </w:tc>
      </w:tr>
      <w:tr>
        <w:trPr>
          <w:cantSplit/>
        </w:trPr>
        <w:tc>
          <w:tcPr>
            <w:tcW w:type="dxa" w:w="3312"/>
          </w:tcPr>
          <w:p>
            <w:pPr>
              <w:spacing w:after="60"/>
            </w:pPr>
            <w:r>
              <w:rPr>
                <w:rFonts w:ascii="Calibri" w:hAnsi="Calibri"/>
                <w:color w:val="1F1F1F"/>
                <w:sz w:val="16"/>
              </w:rPr>
              <w:t>role</w:t>
            </w:r>
          </w:p>
        </w:tc>
        <w:tc>
          <w:tcPr>
            <w:tcW w:type="dxa" w:w="3024"/>
          </w:tcPr>
          <w:p>
            <w:pPr>
              <w:spacing w:after="60"/>
            </w:pPr>
            <w:r>
              <w:rPr>
                <w:rFonts w:ascii="Calibri" w:hAnsi="Calibri"/>
                <w:color w:val="1F1F1F"/>
                <w:sz w:val="16"/>
              </w:rPr>
              <w:t>ENUM user_role NOT NULL, IMMUTABLE</w:t>
            </w:r>
          </w:p>
        </w:tc>
        <w:tc>
          <w:tcPr>
            <w:tcW w:type="dxa" w:w="3024"/>
          </w:tcPr>
          <w:p>
            <w:pPr>
              <w:spacing w:after="60"/>
            </w:pPr>
            <w:r>
              <w:rPr>
                <w:rFonts w:ascii="Calibri" w:hAnsi="Calibri"/>
                <w:color w:val="1F1F1F"/>
                <w:sz w:val="16"/>
              </w:rPr>
              <w:t>VENDOR / COMPLIANCE / BUYER_ADMIN — fixed forever at creation</w:t>
            </w:r>
          </w:p>
        </w:tc>
      </w:tr>
      <w:tr>
        <w:trPr>
          <w:cantSplit/>
        </w:trPr>
        <w:tc>
          <w:tcPr>
            <w:tcW w:type="dxa" w:w="3312"/>
          </w:tcPr>
          <w:p>
            <w:pPr>
              <w:spacing w:after="60"/>
            </w:pPr>
            <w:r>
              <w:rPr>
                <w:rFonts w:ascii="Calibri" w:hAnsi="Calibri"/>
                <w:color w:val="1F1F1F"/>
                <w:sz w:val="16"/>
              </w:rPr>
              <w:t>buyer_id</w:t>
            </w:r>
          </w:p>
        </w:tc>
        <w:tc>
          <w:tcPr>
            <w:tcW w:type="dxa" w:w="3024"/>
          </w:tcPr>
          <w:p>
            <w:pPr>
              <w:spacing w:after="60"/>
            </w:pPr>
            <w:r>
              <w:rPr>
                <w:rFonts w:ascii="Calibri" w:hAnsi="Calibri"/>
                <w:color w:val="1F1F1F"/>
                <w:sz w:val="16"/>
              </w:rPr>
              <w:t>UUID, FK → buyers(id), NULLABLE</w:t>
            </w:r>
          </w:p>
        </w:tc>
        <w:tc>
          <w:tcPr>
            <w:tcW w:type="dxa" w:w="3024"/>
          </w:tcPr>
          <w:p>
            <w:pPr>
              <w:spacing w:after="60"/>
            </w:pPr>
            <w:r>
              <w:rPr>
                <w:rFonts w:ascii="Calibri" w:hAnsi="Calibri"/>
                <w:color w:val="1F1F1F"/>
                <w:sz w:val="16"/>
              </w:rPr>
              <w:t>set for COMPLIANCE and BUYER_ADMIN; NULL for VENDOR</w:t>
            </w:r>
          </w:p>
        </w:tc>
      </w:tr>
      <w:tr>
        <w:trPr>
          <w:cantSplit/>
        </w:trPr>
        <w:tc>
          <w:tcPr>
            <w:tcW w:type="dxa" w:w="3312"/>
          </w:tcPr>
          <w:p>
            <w:pPr>
              <w:spacing w:after="60"/>
            </w:pPr>
            <w:r>
              <w:rPr>
                <w:rFonts w:ascii="Calibri" w:hAnsi="Calibri"/>
                <w:color w:val="1F1F1F"/>
                <w:sz w:val="16"/>
              </w:rPr>
              <w:t>vendor_id</w:t>
            </w:r>
          </w:p>
        </w:tc>
        <w:tc>
          <w:tcPr>
            <w:tcW w:type="dxa" w:w="3024"/>
          </w:tcPr>
          <w:p>
            <w:pPr>
              <w:spacing w:after="60"/>
            </w:pPr>
            <w:r>
              <w:rPr>
                <w:rFonts w:ascii="Calibri" w:hAnsi="Calibri"/>
                <w:color w:val="1F1F1F"/>
                <w:sz w:val="16"/>
              </w:rPr>
              <w:t>UUID, FK → vendors(id), NULLABLE</w:t>
            </w:r>
          </w:p>
        </w:tc>
        <w:tc>
          <w:tcPr>
            <w:tcW w:type="dxa" w:w="3024"/>
          </w:tcPr>
          <w:p>
            <w:pPr>
              <w:spacing w:after="60"/>
            </w:pPr>
            <w:r>
              <w:rPr>
                <w:rFonts w:ascii="Calibri" w:hAnsi="Calibri"/>
                <w:color w:val="1F1F1F"/>
                <w:sz w:val="16"/>
              </w:rPr>
              <w:t>set for VENDOR; NULL for COMPLIANCE and BUYER_ADMIN</w:t>
            </w:r>
          </w:p>
        </w:tc>
      </w:tr>
      <w:tr>
        <w:trPr>
          <w:cantSplit/>
        </w:trPr>
        <w:tc>
          <w:tcPr>
            <w:tcW w:type="dxa" w:w="3312"/>
          </w:tcPr>
          <w:p>
            <w:pPr>
              <w:spacing w:after="60"/>
            </w:pPr>
            <w:r>
              <w:rPr>
                <w:rFonts w:ascii="Calibri" w:hAnsi="Calibri"/>
                <w:color w:val="1F1F1F"/>
                <w:sz w:val="16"/>
              </w:rPr>
              <w:t>invited_by_user_id</w:t>
            </w:r>
          </w:p>
        </w:tc>
        <w:tc>
          <w:tcPr>
            <w:tcW w:type="dxa" w:w="3024"/>
          </w:tcPr>
          <w:p>
            <w:pPr>
              <w:spacing w:after="60"/>
            </w:pPr>
            <w:r>
              <w:rPr>
                <w:rFonts w:ascii="Calibri" w:hAnsi="Calibri"/>
                <w:color w:val="1F1F1F"/>
                <w:sz w:val="16"/>
              </w:rPr>
              <w:t>UUID, FK → users(id), NULLABLE</w:t>
            </w:r>
          </w:p>
        </w:tc>
        <w:tc>
          <w:tcPr>
            <w:tcW w:type="dxa" w:w="3024"/>
          </w:tcPr>
          <w:p>
            <w:pPr>
              <w:spacing w:after="60"/>
            </w:pPr>
            <w:r>
              <w:rPr>
                <w:rFonts w:ascii="Calibri" w:hAnsi="Calibri"/>
                <w:color w:val="1F1F1F"/>
                <w:sz w:val="16"/>
              </w:rPr>
              <w:t>set only for COMPLIANCE accounts (who invited them)</w:t>
            </w:r>
          </w:p>
        </w:tc>
      </w:tr>
      <w:tr>
        <w:trPr>
          <w:cantSplit/>
        </w:trPr>
        <w:tc>
          <w:tcPr>
            <w:tcW w:type="dxa" w:w="3312"/>
          </w:tcPr>
          <w:p>
            <w:pPr>
              <w:spacing w:after="60"/>
            </w:pPr>
            <w:r>
              <w:rPr>
                <w:rFonts w:ascii="Calibri" w:hAnsi="Calibri"/>
                <w:color w:val="1F1F1F"/>
                <w:sz w:val="16"/>
              </w:rPr>
              <w:t>status</w:t>
            </w:r>
          </w:p>
        </w:tc>
        <w:tc>
          <w:tcPr>
            <w:tcW w:type="dxa" w:w="3024"/>
          </w:tcPr>
          <w:p>
            <w:pPr>
              <w:spacing w:after="60"/>
            </w:pPr>
            <w:r>
              <w:rPr>
                <w:rFonts w:ascii="Calibri" w:hAnsi="Calibri"/>
                <w:color w:val="1F1F1F"/>
                <w:sz w:val="16"/>
              </w:rPr>
              <w:t>VARCHAR(50) NOT NULL</w:t>
            </w:r>
          </w:p>
        </w:tc>
        <w:tc>
          <w:tcPr>
            <w:tcW w:type="dxa" w:w="3024"/>
          </w:tcPr>
          <w:p>
            <w:pPr>
              <w:spacing w:after="60"/>
            </w:pPr>
            <w:r>
              <w:rPr>
                <w:rFonts w:ascii="Calibri" w:hAnsi="Calibri"/>
                <w:color w:val="1F1F1F"/>
                <w:sz w:val="16"/>
              </w:rPr>
              <w:t>PENDING_FIRST_LOGIN / ACTIVE / DISABLED</w:t>
            </w:r>
          </w:p>
        </w:tc>
      </w:tr>
      <w:tr>
        <w:trPr>
          <w:cantSplit/>
        </w:trPr>
        <w:tc>
          <w:tcPr>
            <w:tcW w:type="dxa" w:w="3312"/>
          </w:tcPr>
          <w:p>
            <w:pPr>
              <w:spacing w:after="60"/>
            </w:pPr>
            <w:r>
              <w:rPr>
                <w:rFonts w:ascii="Calibri" w:hAnsi="Calibri"/>
                <w:color w:val="1F1F1F"/>
                <w:sz w:val="16"/>
              </w:rPr>
              <w:t>created_at / role_assigned_at</w:t>
            </w:r>
          </w:p>
        </w:tc>
        <w:tc>
          <w:tcPr>
            <w:tcW w:type="dxa" w:w="3024"/>
          </w:tcPr>
          <w:p>
            <w:pPr>
              <w:spacing w:after="60"/>
            </w:pPr>
            <w:r>
              <w:rPr>
                <w:rFonts w:ascii="Calibri" w:hAnsi="Calibri"/>
                <w:color w:val="1F1F1F"/>
                <w:sz w:val="16"/>
              </w:rPr>
              <w:t>TIMESTAMPTZ NOT NULL</w:t>
            </w:r>
          </w:p>
        </w:tc>
        <w:tc>
          <w:tcPr>
            <w:tcW w:type="dxa" w:w="3024"/>
          </w:tcPr>
          <w:p>
            <w:pPr>
              <w:spacing w:after="60"/>
            </w:pPr>
            <w:r>
              <w:rPr>
                <w:rFonts w:ascii="Calibri" w:hAnsi="Calibri"/>
                <w:color w:val="1F1F1F"/>
                <w:sz w:val="16"/>
              </w:rPr>
              <w:t>role_assigned_at = created_at always, since role never changes</w:t>
            </w:r>
          </w:p>
        </w:tc>
      </w:tr>
      <w:tr>
        <w:trPr>
          <w:cantSplit/>
        </w:trPr>
        <w:tc>
          <w:tcPr>
            <w:tcW w:type="dxa" w:w="3312"/>
          </w:tcPr>
          <w:p>
            <w:pPr>
              <w:spacing w:after="60"/>
            </w:pPr>
            <w:r>
              <w:rPr>
                <w:rFonts w:ascii="Calibri" w:hAnsi="Calibri"/>
                <w:color w:val="1F1F1F"/>
                <w:sz w:val="16"/>
              </w:rPr>
              <w:t>— constraint</w:t>
            </w:r>
          </w:p>
        </w:tc>
        <w:tc>
          <w:tcPr>
            <w:tcW w:type="dxa" w:w="3024"/>
          </w:tcPr>
          <w:p>
            <w:pPr>
              <w:spacing w:after="60"/>
            </w:pPr>
            <w:r>
              <w:rPr>
                <w:rFonts w:ascii="Calibri" w:hAnsi="Calibri"/>
                <w:color w:val="1F1F1F"/>
                <w:sz w:val="16"/>
              </w:rPr>
              <w:t>CHECK (role = 'VENDOR' AND vendor_id IS NOT NULL AND buyer_id IS NULL) OR (role IN ('COMPLIANCE','BUYER_ADMIN') AND buyer_id IS NOT NULL AND vendor_id IS NULL)</w:t>
            </w:r>
          </w:p>
        </w:tc>
        <w:tc>
          <w:tcPr>
            <w:tcW w:type="dxa" w:w="3024"/>
          </w:tcPr>
          <w:p>
            <w:pPr>
              <w:spacing w:after="60"/>
            </w:pPr>
            <w:r>
              <w:rPr>
                <w:rFonts w:ascii="Calibri" w:hAnsi="Calibri"/>
                <w:color w:val="1F1F1F"/>
                <w:sz w:val="16"/>
              </w:rPr>
              <w:t>role_scope_check</w:t>
            </w:r>
          </w:p>
        </w:tc>
      </w:tr>
    </w:tbl>
    <w:p>
      <w:pPr>
        <w:spacing w:after="40"/>
      </w:pPr>
    </w:p>
    <w:p>
      <w:pPr>
        <w:pStyle w:val="Heading3"/>
      </w:pPr>
      <w:r>
        <w:t>buyer_vendor_links</w:t>
      </w:r>
    </w:p>
    <w:p>
      <w:r>
        <w:rPr>
          <w:b w:val="0"/>
          <w:i/>
          <w:color w:val="555555"/>
          <w:sz w:val="19"/>
        </w:rPr>
        <w:t>The junction table that makes reuse real — connects one shared vendor to many buyers, with private overlay data per buyer.</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rPr>
          <w:cantSplit/>
        </w:trPr>
        <w:tc>
          <w:tcPr>
            <w:tcW w:type="dxa" w:w="3312"/>
            <w:shd w:val="clear" w:color="auto" w:fill="1F5C57"/>
          </w:tcPr>
          <w:p>
            <w:pPr>
              <w:spacing w:after="60"/>
            </w:pPr>
            <w:r>
              <w:rPr>
                <w:rFonts w:ascii="Calibri" w:hAnsi="Calibri"/>
                <w:color w:val="1F1F1F"/>
                <w:sz w:val="16"/>
              </w:rPr>
              <w:t>Column</w:t>
            </w:r>
          </w:p>
        </w:tc>
        <w:tc>
          <w:tcPr>
            <w:tcW w:type="dxa" w:w="3024"/>
            <w:shd w:val="clear" w:color="auto" w:fill="1F5C57"/>
          </w:tcPr>
          <w:p>
            <w:pPr>
              <w:spacing w:after="60"/>
            </w:pPr>
            <w:r>
              <w:rPr>
                <w:rFonts w:ascii="Calibri" w:hAnsi="Calibri"/>
                <w:color w:val="1F1F1F"/>
                <w:sz w:val="16"/>
              </w:rPr>
              <w:t>Type</w:t>
            </w:r>
          </w:p>
        </w:tc>
        <w:tc>
          <w:tcPr>
            <w:tcW w:type="dxa" w:w="3024"/>
            <w:shd w:val="clear" w:color="auto" w:fill="1F5C57"/>
          </w:tcPr>
          <w:p>
            <w:pPr>
              <w:spacing w:after="60"/>
            </w:pPr>
            <w:r>
              <w:rPr>
                <w:rFonts w:ascii="Calibri" w:hAnsi="Calibri"/>
                <w:color w:val="1F1F1F"/>
                <w:sz w:val="16"/>
              </w:rPr>
              <w:t>Notes</w:t>
            </w:r>
          </w:p>
        </w:tc>
      </w:tr>
      <w:tr>
        <w:trPr>
          <w:cantSplit/>
        </w:trPr>
        <w:tc>
          <w:tcPr>
            <w:tcW w:type="dxa" w:w="3312"/>
          </w:tcPr>
          <w:p>
            <w:pPr>
              <w:spacing w:after="60"/>
            </w:pPr>
            <w:r>
              <w:rPr>
                <w:rFonts w:ascii="Calibri" w:hAnsi="Calibri"/>
                <w:color w:val="1F1F1F"/>
                <w:sz w:val="16"/>
              </w:rPr>
              <w:t>id</w:t>
            </w:r>
          </w:p>
        </w:tc>
        <w:tc>
          <w:tcPr>
            <w:tcW w:type="dxa" w:w="3024"/>
          </w:tcPr>
          <w:p>
            <w:pPr>
              <w:spacing w:after="60"/>
            </w:pPr>
            <w:r>
              <w:rPr>
                <w:rFonts w:ascii="Calibri" w:hAnsi="Calibri"/>
                <w:color w:val="1F1F1F"/>
                <w:sz w:val="16"/>
              </w:rPr>
              <w:t>UUID, PK</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buyer_id</w:t>
            </w:r>
          </w:p>
        </w:tc>
        <w:tc>
          <w:tcPr>
            <w:tcW w:type="dxa" w:w="3024"/>
          </w:tcPr>
          <w:p>
            <w:pPr>
              <w:spacing w:after="60"/>
            </w:pPr>
            <w:r>
              <w:rPr>
                <w:rFonts w:ascii="Calibri" w:hAnsi="Calibri"/>
                <w:color w:val="1F1F1F"/>
                <w:sz w:val="16"/>
              </w:rPr>
              <w:t>UUID, FK → buyers(id)</w:t>
            </w:r>
          </w:p>
        </w:tc>
        <w:tc>
          <w:tcPr>
            <w:tcW w:type="dxa" w:w="3024"/>
          </w:tcPr>
          <w:p>
            <w:pPr>
              <w:spacing w:after="60"/>
            </w:pPr>
            <w:r>
              <w:rPr>
                <w:rFonts w:ascii="Calibri" w:hAnsi="Calibri"/>
                <w:color w:val="1F1F1F"/>
                <w:sz w:val="16"/>
              </w:rPr>
              <w:t>ON DELETE RESTRICT</w:t>
            </w:r>
          </w:p>
        </w:tc>
      </w:tr>
      <w:tr>
        <w:trPr>
          <w:cantSplit/>
        </w:trPr>
        <w:tc>
          <w:tcPr>
            <w:tcW w:type="dxa" w:w="3312"/>
          </w:tcPr>
          <w:p>
            <w:pPr>
              <w:spacing w:after="60"/>
            </w:pPr>
            <w:r>
              <w:rPr>
                <w:rFonts w:ascii="Calibri" w:hAnsi="Calibri"/>
                <w:color w:val="1F1F1F"/>
                <w:sz w:val="16"/>
              </w:rPr>
              <w:t>vendor_id</w:t>
            </w:r>
          </w:p>
        </w:tc>
        <w:tc>
          <w:tcPr>
            <w:tcW w:type="dxa" w:w="3024"/>
          </w:tcPr>
          <w:p>
            <w:pPr>
              <w:spacing w:after="60"/>
            </w:pPr>
            <w:r>
              <w:rPr>
                <w:rFonts w:ascii="Calibri" w:hAnsi="Calibri"/>
                <w:color w:val="1F1F1F"/>
                <w:sz w:val="16"/>
              </w:rPr>
              <w:t>UUID, FK → vendors(id)</w:t>
            </w:r>
          </w:p>
        </w:tc>
        <w:tc>
          <w:tcPr>
            <w:tcW w:type="dxa" w:w="3024"/>
          </w:tcPr>
          <w:p>
            <w:pPr>
              <w:spacing w:after="60"/>
            </w:pPr>
            <w:r>
              <w:rPr>
                <w:rFonts w:ascii="Calibri" w:hAnsi="Calibri"/>
                <w:color w:val="1F1F1F"/>
                <w:sz w:val="16"/>
              </w:rPr>
              <w:t>ON DELETE RESTRICT</w:t>
            </w:r>
          </w:p>
        </w:tc>
      </w:tr>
      <w:tr>
        <w:trPr>
          <w:cantSplit/>
        </w:trPr>
        <w:tc>
          <w:tcPr>
            <w:tcW w:type="dxa" w:w="3312"/>
          </w:tcPr>
          <w:p>
            <w:pPr>
              <w:spacing w:after="60"/>
            </w:pPr>
            <w:r>
              <w:rPr>
                <w:rFonts w:ascii="Calibri" w:hAnsi="Calibri"/>
                <w:color w:val="1F1F1F"/>
                <w:sz w:val="16"/>
              </w:rPr>
              <w:t>tenant_overlay_data</w:t>
            </w:r>
          </w:p>
        </w:tc>
        <w:tc>
          <w:tcPr>
            <w:tcW w:type="dxa" w:w="3024"/>
          </w:tcPr>
          <w:p>
            <w:pPr>
              <w:spacing w:after="60"/>
            </w:pPr>
            <w:r>
              <w:rPr>
                <w:rFonts w:ascii="Calibri" w:hAnsi="Calibri"/>
                <w:color w:val="1F1F1F"/>
                <w:sz w:val="16"/>
              </w:rPr>
              <w:t>JSONB NOT NULL</w:t>
            </w:r>
          </w:p>
        </w:tc>
        <w:tc>
          <w:tcPr>
            <w:tcW w:type="dxa" w:w="3024"/>
          </w:tcPr>
          <w:p>
            <w:pPr>
              <w:spacing w:after="60"/>
            </w:pPr>
            <w:r>
              <w:rPr>
                <w:rFonts w:ascii="Calibri" w:hAnsi="Calibri"/>
                <w:color w:val="1F1F1F"/>
                <w:sz w:val="16"/>
              </w:rPr>
              <w:t>buyer-specific performance metrics/notes, default {}</w:t>
            </w:r>
          </w:p>
        </w:tc>
      </w:tr>
      <w:tr>
        <w:trPr>
          <w:cantSplit/>
        </w:trPr>
        <w:tc>
          <w:tcPr>
            <w:tcW w:type="dxa" w:w="3312"/>
          </w:tcPr>
          <w:p>
            <w:pPr>
              <w:spacing w:after="60"/>
            </w:pPr>
            <w:r>
              <w:rPr>
                <w:rFonts w:ascii="Calibri" w:hAnsi="Calibri"/>
                <w:color w:val="1F1F1F"/>
                <w:sz w:val="16"/>
              </w:rPr>
              <w:t>internal_criticality</w:t>
            </w:r>
          </w:p>
        </w:tc>
        <w:tc>
          <w:tcPr>
            <w:tcW w:type="dxa" w:w="3024"/>
          </w:tcPr>
          <w:p>
            <w:pPr>
              <w:spacing w:after="60"/>
            </w:pPr>
            <w:r>
              <w:rPr>
                <w:rFonts w:ascii="Calibri" w:hAnsi="Calibri"/>
                <w:color w:val="1F1F1F"/>
                <w:sz w:val="16"/>
              </w:rPr>
              <w:t>VARCHAR(50) NOT NULL</w:t>
            </w:r>
          </w:p>
        </w:tc>
        <w:tc>
          <w:tcPr>
            <w:tcW w:type="dxa" w:w="3024"/>
          </w:tcPr>
          <w:p>
            <w:pPr>
              <w:spacing w:after="60"/>
            </w:pPr>
            <w:r>
              <w:rPr>
                <w:rFonts w:ascii="Calibri" w:hAnsi="Calibri"/>
                <w:color w:val="1F1F1F"/>
                <w:sz w:val="16"/>
              </w:rPr>
              <w:t>CRITICAL / SIGNIFICANT / NON_ESSENTIAL, default NON_ESSENTIAL</w:t>
            </w:r>
          </w:p>
        </w:tc>
      </w:tr>
      <w:tr>
        <w:trPr>
          <w:cantSplit/>
        </w:trPr>
        <w:tc>
          <w:tcPr>
            <w:tcW w:type="dxa" w:w="3312"/>
          </w:tcPr>
          <w:p>
            <w:pPr>
              <w:spacing w:after="60"/>
            </w:pPr>
            <w:r>
              <w:rPr>
                <w:rFonts w:ascii="Calibri" w:hAnsi="Calibri"/>
                <w:color w:val="1F1F1F"/>
                <w:sz w:val="16"/>
              </w:rPr>
              <w:t>shared_at</w:t>
            </w:r>
          </w:p>
        </w:tc>
        <w:tc>
          <w:tcPr>
            <w:tcW w:type="dxa" w:w="3024"/>
          </w:tcPr>
          <w:p>
            <w:pPr>
              <w:spacing w:after="60"/>
            </w:pPr>
            <w:r>
              <w:rPr>
                <w:rFonts w:ascii="Calibri" w:hAnsi="Calibri"/>
                <w:color w:val="1F1F1F"/>
                <w:sz w:val="16"/>
              </w:rPr>
              <w:t>TIMESTAMPTZ NOT NULL</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 constraint</w:t>
            </w:r>
          </w:p>
        </w:tc>
        <w:tc>
          <w:tcPr>
            <w:tcW w:type="dxa" w:w="3024"/>
          </w:tcPr>
          <w:p>
            <w:pPr>
              <w:spacing w:after="60"/>
            </w:pPr>
            <w:r>
              <w:rPr>
                <w:rFonts w:ascii="Calibri" w:hAnsi="Calibri"/>
                <w:color w:val="1F1F1F"/>
                <w:sz w:val="16"/>
              </w:rPr>
              <w:t>UNIQUE(buyer_id, vendor_id)</w:t>
            </w:r>
          </w:p>
        </w:tc>
        <w:tc>
          <w:tcPr>
            <w:tcW w:type="dxa" w:w="3024"/>
          </w:tcPr>
          <w:p>
            <w:pPr>
              <w:spacing w:after="60"/>
            </w:pPr>
            <w:r>
              <w:rPr>
                <w:rFonts w:ascii="Calibri" w:hAnsi="Calibri"/>
                <w:color w:val="1F1F1F"/>
                <w:sz w:val="16"/>
              </w:rPr>
              <w:t>unique_buyer_vendor</w:t>
            </w:r>
          </w:p>
        </w:tc>
      </w:tr>
    </w:tbl>
    <w:p>
      <w:pPr>
        <w:spacing w:after="40"/>
      </w:pPr>
    </w:p>
    <w:p>
      <w:pPr>
        <w:pStyle w:val="Heading3"/>
      </w:pPr>
      <w:r>
        <w:t>materiality_rules</w:t>
      </w:r>
    </w:p>
    <w:p>
      <w:r>
        <w:rPr>
          <w:b w:val="0"/>
          <w:i/>
          <w:color w:val="555555"/>
          <w:sz w:val="19"/>
        </w:rPr>
        <w:t>The rules table that decides what counts as an urgent change.</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rPr>
          <w:cantSplit/>
        </w:trPr>
        <w:tc>
          <w:tcPr>
            <w:tcW w:type="dxa" w:w="3312"/>
            <w:shd w:val="clear" w:color="auto" w:fill="1F5C57"/>
          </w:tcPr>
          <w:p>
            <w:pPr>
              <w:spacing w:after="60"/>
            </w:pPr>
            <w:r>
              <w:rPr>
                <w:rFonts w:ascii="Calibri" w:hAnsi="Calibri"/>
                <w:color w:val="1F1F1F"/>
                <w:sz w:val="16"/>
              </w:rPr>
              <w:t>Column</w:t>
            </w:r>
          </w:p>
        </w:tc>
        <w:tc>
          <w:tcPr>
            <w:tcW w:type="dxa" w:w="3024"/>
            <w:shd w:val="clear" w:color="auto" w:fill="1F5C57"/>
          </w:tcPr>
          <w:p>
            <w:pPr>
              <w:spacing w:after="60"/>
            </w:pPr>
            <w:r>
              <w:rPr>
                <w:rFonts w:ascii="Calibri" w:hAnsi="Calibri"/>
                <w:color w:val="1F1F1F"/>
                <w:sz w:val="16"/>
              </w:rPr>
              <w:t>Type</w:t>
            </w:r>
          </w:p>
        </w:tc>
        <w:tc>
          <w:tcPr>
            <w:tcW w:type="dxa" w:w="3024"/>
            <w:shd w:val="clear" w:color="auto" w:fill="1F5C57"/>
          </w:tcPr>
          <w:p>
            <w:pPr>
              <w:spacing w:after="60"/>
            </w:pPr>
            <w:r>
              <w:rPr>
                <w:rFonts w:ascii="Calibri" w:hAnsi="Calibri"/>
                <w:color w:val="1F1F1F"/>
                <w:sz w:val="16"/>
              </w:rPr>
              <w:t>Notes</w:t>
            </w:r>
          </w:p>
        </w:tc>
      </w:tr>
      <w:tr>
        <w:trPr>
          <w:cantSplit/>
        </w:trPr>
        <w:tc>
          <w:tcPr>
            <w:tcW w:type="dxa" w:w="3312"/>
          </w:tcPr>
          <w:p>
            <w:pPr>
              <w:spacing w:after="60"/>
            </w:pPr>
            <w:r>
              <w:rPr>
                <w:rFonts w:ascii="Calibri" w:hAnsi="Calibri"/>
                <w:color w:val="1F1F1F"/>
                <w:sz w:val="16"/>
              </w:rPr>
              <w:t>id</w:t>
            </w:r>
          </w:p>
        </w:tc>
        <w:tc>
          <w:tcPr>
            <w:tcW w:type="dxa" w:w="3024"/>
          </w:tcPr>
          <w:p>
            <w:pPr>
              <w:spacing w:after="60"/>
            </w:pPr>
            <w:r>
              <w:rPr>
                <w:rFonts w:ascii="Calibri" w:hAnsi="Calibri"/>
                <w:color w:val="1F1F1F"/>
                <w:sz w:val="16"/>
              </w:rPr>
              <w:t>UUID, PK</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field_name</w:t>
            </w:r>
          </w:p>
        </w:tc>
        <w:tc>
          <w:tcPr>
            <w:tcW w:type="dxa" w:w="3024"/>
          </w:tcPr>
          <w:p>
            <w:pPr>
              <w:spacing w:after="60"/>
            </w:pPr>
            <w:r>
              <w:rPr>
                <w:rFonts w:ascii="Calibri" w:hAnsi="Calibri"/>
                <w:color w:val="1F1F1F"/>
                <w:sz w:val="16"/>
              </w:rPr>
              <w:t>VARCHAR(50) NOT NULL</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internal_criticality</w:t>
            </w:r>
          </w:p>
        </w:tc>
        <w:tc>
          <w:tcPr>
            <w:tcW w:type="dxa" w:w="3024"/>
          </w:tcPr>
          <w:p>
            <w:pPr>
              <w:spacing w:after="60"/>
            </w:pPr>
            <w:r>
              <w:rPr>
                <w:rFonts w:ascii="Calibri" w:hAnsi="Calibri"/>
                <w:color w:val="1F1F1F"/>
                <w:sz w:val="16"/>
              </w:rPr>
              <w:t>VARCHAR(50) NOT NULL</w:t>
            </w:r>
          </w:p>
        </w:tc>
        <w:tc>
          <w:tcPr>
            <w:tcW w:type="dxa" w:w="3024"/>
          </w:tcPr>
          <w:p>
            <w:pPr>
              <w:spacing w:after="60"/>
            </w:pPr>
            <w:r>
              <w:rPr>
                <w:rFonts w:ascii="Calibri" w:hAnsi="Calibri"/>
                <w:color w:val="1F1F1F"/>
                <w:sz w:val="16"/>
              </w:rPr>
              <w:t>CRITICAL / SIGNIFICANT / NON_ESSENTIAL</w:t>
            </w:r>
          </w:p>
        </w:tc>
      </w:tr>
      <w:tr>
        <w:trPr>
          <w:cantSplit/>
        </w:trPr>
        <w:tc>
          <w:tcPr>
            <w:tcW w:type="dxa" w:w="3312"/>
          </w:tcPr>
          <w:p>
            <w:pPr>
              <w:spacing w:after="60"/>
            </w:pPr>
            <w:r>
              <w:rPr>
                <w:rFonts w:ascii="Calibri" w:hAnsi="Calibri"/>
                <w:color w:val="1F1F1F"/>
                <w:sz w:val="16"/>
              </w:rPr>
              <w:t>severity</w:t>
            </w:r>
          </w:p>
        </w:tc>
        <w:tc>
          <w:tcPr>
            <w:tcW w:type="dxa" w:w="3024"/>
          </w:tcPr>
          <w:p>
            <w:pPr>
              <w:spacing w:after="60"/>
            </w:pPr>
            <w:r>
              <w:rPr>
                <w:rFonts w:ascii="Calibri" w:hAnsi="Calibri"/>
                <w:color w:val="1F1F1F"/>
                <w:sz w:val="16"/>
              </w:rPr>
              <w:t>ENUM alert_severity NOT NULL</w:t>
            </w:r>
          </w:p>
        </w:tc>
        <w:tc>
          <w:tcPr>
            <w:tcW w:type="dxa" w:w="3024"/>
          </w:tcPr>
          <w:p>
            <w:pPr>
              <w:spacing w:after="60"/>
            </w:pPr>
            <w:r>
              <w:rPr>
                <w:rFonts w:ascii="Calibri" w:hAnsi="Calibri"/>
                <w:color w:val="1F1F1F"/>
                <w:sz w:val="16"/>
              </w:rPr>
              <w:t>LOW / MEDIUM / HIGH / CRITICAL</w:t>
            </w:r>
          </w:p>
        </w:tc>
      </w:tr>
      <w:tr>
        <w:trPr>
          <w:cantSplit/>
        </w:trPr>
        <w:tc>
          <w:tcPr>
            <w:tcW w:type="dxa" w:w="3312"/>
          </w:tcPr>
          <w:p>
            <w:pPr>
              <w:spacing w:after="60"/>
            </w:pPr>
            <w:r>
              <w:rPr>
                <w:rFonts w:ascii="Calibri" w:hAnsi="Calibri"/>
                <w:color w:val="1F1F1F"/>
                <w:sz w:val="16"/>
              </w:rPr>
              <w:t>affected_process</w:t>
            </w:r>
          </w:p>
        </w:tc>
        <w:tc>
          <w:tcPr>
            <w:tcW w:type="dxa" w:w="3024"/>
          </w:tcPr>
          <w:p>
            <w:pPr>
              <w:spacing w:after="60"/>
            </w:pPr>
            <w:r>
              <w:rPr>
                <w:rFonts w:ascii="Calibri" w:hAnsi="Calibri"/>
                <w:color w:val="1F1F1F"/>
                <w:sz w:val="16"/>
              </w:rPr>
              <w:t>VARCHAR(50) NOT NULL</w:t>
            </w:r>
          </w:p>
        </w:tc>
        <w:tc>
          <w:tcPr>
            <w:tcW w:type="dxa" w:w="3024"/>
          </w:tcPr>
          <w:p>
            <w:pPr>
              <w:spacing w:after="60"/>
            </w:pPr>
            <w:r>
              <w:rPr>
                <w:rFonts w:ascii="Calibri" w:hAnsi="Calibri"/>
                <w:color w:val="1F1F1F"/>
                <w:sz w:val="16"/>
              </w:rPr>
              <w:t>PAYMENT / TAX / CONTRACT / COMPLIANCE</w:t>
            </w:r>
          </w:p>
        </w:tc>
      </w:tr>
      <w:tr>
        <w:trPr>
          <w:cantSplit/>
        </w:trPr>
        <w:tc>
          <w:tcPr>
            <w:tcW w:type="dxa" w:w="3312"/>
          </w:tcPr>
          <w:p>
            <w:pPr>
              <w:spacing w:after="60"/>
            </w:pPr>
            <w:r>
              <w:rPr>
                <w:rFonts w:ascii="Calibri" w:hAnsi="Calibri"/>
                <w:color w:val="1F1F1F"/>
                <w:sz w:val="16"/>
              </w:rPr>
              <w:t>routed_to_role</w:t>
            </w:r>
          </w:p>
        </w:tc>
        <w:tc>
          <w:tcPr>
            <w:tcW w:type="dxa" w:w="3024"/>
          </w:tcPr>
          <w:p>
            <w:pPr>
              <w:spacing w:after="60"/>
            </w:pPr>
            <w:r>
              <w:rPr>
                <w:rFonts w:ascii="Calibri" w:hAnsi="Calibri"/>
                <w:color w:val="1F1F1F"/>
                <w:sz w:val="16"/>
              </w:rPr>
              <w:t>VARCHAR(50) NOT NULL</w:t>
            </w:r>
          </w:p>
        </w:tc>
        <w:tc>
          <w:tcPr>
            <w:tcW w:type="dxa" w:w="3024"/>
          </w:tcPr>
          <w:p>
            <w:pPr>
              <w:spacing w:after="60"/>
            </w:pPr>
            <w:r>
              <w:rPr>
                <w:rFonts w:ascii="Calibri" w:hAnsi="Calibri"/>
                <w:color w:val="1F1F1F"/>
                <w:sz w:val="16"/>
              </w:rPr>
              <w:t>FINANCE / COMPLIANCE / LEGAL / PROCUREMENT</w:t>
            </w:r>
          </w:p>
        </w:tc>
      </w:tr>
      <w:tr>
        <w:trPr>
          <w:cantSplit/>
        </w:trPr>
        <w:tc>
          <w:tcPr>
            <w:tcW w:type="dxa" w:w="3312"/>
          </w:tcPr>
          <w:p>
            <w:pPr>
              <w:spacing w:after="60"/>
            </w:pPr>
            <w:r>
              <w:rPr>
                <w:rFonts w:ascii="Calibri" w:hAnsi="Calibri"/>
                <w:color w:val="1F1F1F"/>
                <w:sz w:val="16"/>
              </w:rPr>
              <w:t>— constraint</w:t>
            </w:r>
          </w:p>
        </w:tc>
        <w:tc>
          <w:tcPr>
            <w:tcW w:type="dxa" w:w="3024"/>
          </w:tcPr>
          <w:p>
            <w:pPr>
              <w:spacing w:after="60"/>
            </w:pPr>
            <w:r>
              <w:rPr>
                <w:rFonts w:ascii="Calibri" w:hAnsi="Calibri"/>
                <w:color w:val="1F1F1F"/>
                <w:sz w:val="16"/>
              </w:rPr>
              <w:t>UNIQUE(field_name, internal_criticality)</w:t>
            </w:r>
          </w:p>
        </w:tc>
        <w:tc>
          <w:tcPr>
            <w:tcW w:type="dxa" w:w="3024"/>
          </w:tcPr>
          <w:p>
            <w:pPr>
              <w:spacing w:after="60"/>
            </w:pPr>
            <w:r>
              <w:rPr>
                <w:rFonts w:ascii="Calibri" w:hAnsi="Calibri"/>
                <w:color w:val="1F1F1F"/>
                <w:sz w:val="16"/>
              </w:rPr>
              <w:t>unique_rule</w:t>
            </w:r>
          </w:p>
        </w:tc>
      </w:tr>
    </w:tbl>
    <w:p>
      <w:pPr>
        <w:spacing w:after="40"/>
      </w:pPr>
    </w:p>
    <w:p>
      <w:pPr>
        <w:pStyle w:val="Heading3"/>
      </w:pPr>
      <w:r>
        <w:t>alerts</w:t>
      </w:r>
    </w:p>
    <w:p>
      <w:r>
        <w:rPr>
          <w:b w:val="0"/>
          <w:i/>
          <w:color w:val="555555"/>
          <w:sz w:val="19"/>
        </w:rPr>
        <w:t>A flagged change: what changed, how severe, and where it was routed.</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rPr>
          <w:cantSplit/>
        </w:trPr>
        <w:tc>
          <w:tcPr>
            <w:tcW w:type="dxa" w:w="3312"/>
            <w:shd w:val="clear" w:color="auto" w:fill="1F5C57"/>
          </w:tcPr>
          <w:p>
            <w:pPr>
              <w:spacing w:after="60"/>
            </w:pPr>
            <w:r>
              <w:rPr>
                <w:rFonts w:ascii="Calibri" w:hAnsi="Calibri"/>
                <w:color w:val="1F1F1F"/>
                <w:sz w:val="16"/>
              </w:rPr>
              <w:t>Column</w:t>
            </w:r>
          </w:p>
        </w:tc>
        <w:tc>
          <w:tcPr>
            <w:tcW w:type="dxa" w:w="3024"/>
            <w:shd w:val="clear" w:color="auto" w:fill="1F5C57"/>
          </w:tcPr>
          <w:p>
            <w:pPr>
              <w:spacing w:after="60"/>
            </w:pPr>
            <w:r>
              <w:rPr>
                <w:rFonts w:ascii="Calibri" w:hAnsi="Calibri"/>
                <w:color w:val="1F1F1F"/>
                <w:sz w:val="16"/>
              </w:rPr>
              <w:t>Type</w:t>
            </w:r>
          </w:p>
        </w:tc>
        <w:tc>
          <w:tcPr>
            <w:tcW w:type="dxa" w:w="3024"/>
            <w:shd w:val="clear" w:color="auto" w:fill="1F5C57"/>
          </w:tcPr>
          <w:p>
            <w:pPr>
              <w:spacing w:after="60"/>
            </w:pPr>
            <w:r>
              <w:rPr>
                <w:rFonts w:ascii="Calibri" w:hAnsi="Calibri"/>
                <w:color w:val="1F1F1F"/>
                <w:sz w:val="16"/>
              </w:rPr>
              <w:t>Notes</w:t>
            </w:r>
          </w:p>
        </w:tc>
      </w:tr>
      <w:tr>
        <w:trPr>
          <w:cantSplit/>
        </w:trPr>
        <w:tc>
          <w:tcPr>
            <w:tcW w:type="dxa" w:w="3312"/>
          </w:tcPr>
          <w:p>
            <w:pPr>
              <w:spacing w:after="60"/>
            </w:pPr>
            <w:r>
              <w:rPr>
                <w:rFonts w:ascii="Calibri" w:hAnsi="Calibri"/>
                <w:color w:val="1F1F1F"/>
                <w:sz w:val="16"/>
              </w:rPr>
              <w:t>id</w:t>
            </w:r>
          </w:p>
        </w:tc>
        <w:tc>
          <w:tcPr>
            <w:tcW w:type="dxa" w:w="3024"/>
          </w:tcPr>
          <w:p>
            <w:pPr>
              <w:spacing w:after="60"/>
            </w:pPr>
            <w:r>
              <w:rPr>
                <w:rFonts w:ascii="Calibri" w:hAnsi="Calibri"/>
                <w:color w:val="1F1F1F"/>
                <w:sz w:val="16"/>
              </w:rPr>
              <w:t>UUID, PK</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vendor_id</w:t>
            </w:r>
          </w:p>
        </w:tc>
        <w:tc>
          <w:tcPr>
            <w:tcW w:type="dxa" w:w="3024"/>
          </w:tcPr>
          <w:p>
            <w:pPr>
              <w:spacing w:after="60"/>
            </w:pPr>
            <w:r>
              <w:rPr>
                <w:rFonts w:ascii="Calibri" w:hAnsi="Calibri"/>
                <w:color w:val="1F1F1F"/>
                <w:sz w:val="16"/>
              </w:rPr>
              <w:t>UUID, FK → vendors(id)</w:t>
            </w:r>
          </w:p>
        </w:tc>
        <w:tc>
          <w:tcPr>
            <w:tcW w:type="dxa" w:w="3024"/>
          </w:tcPr>
          <w:p>
            <w:pPr>
              <w:spacing w:after="60"/>
            </w:pPr>
            <w:r>
              <w:rPr>
                <w:rFonts w:ascii="Calibri" w:hAnsi="Calibri"/>
                <w:color w:val="1F1F1F"/>
                <w:sz w:val="16"/>
              </w:rPr>
              <w:t>ON DELETE CASCADE</w:t>
            </w:r>
          </w:p>
        </w:tc>
      </w:tr>
      <w:tr>
        <w:trPr>
          <w:cantSplit/>
        </w:trPr>
        <w:tc>
          <w:tcPr>
            <w:tcW w:type="dxa" w:w="3312"/>
          </w:tcPr>
          <w:p>
            <w:pPr>
              <w:spacing w:after="60"/>
            </w:pPr>
            <w:r>
              <w:rPr>
                <w:rFonts w:ascii="Calibri" w:hAnsi="Calibri"/>
                <w:color w:val="1F1F1F"/>
                <w:sz w:val="16"/>
              </w:rPr>
              <w:t>buyer_id</w:t>
            </w:r>
          </w:p>
        </w:tc>
        <w:tc>
          <w:tcPr>
            <w:tcW w:type="dxa" w:w="3024"/>
          </w:tcPr>
          <w:p>
            <w:pPr>
              <w:spacing w:after="60"/>
            </w:pPr>
            <w:r>
              <w:rPr>
                <w:rFonts w:ascii="Calibri" w:hAnsi="Calibri"/>
                <w:color w:val="1F1F1F"/>
                <w:sz w:val="16"/>
              </w:rPr>
              <w:t>UUID, FK → buyers(id)</w:t>
            </w:r>
          </w:p>
        </w:tc>
        <w:tc>
          <w:tcPr>
            <w:tcW w:type="dxa" w:w="3024"/>
          </w:tcPr>
          <w:p>
            <w:pPr>
              <w:spacing w:after="60"/>
            </w:pPr>
            <w:r>
              <w:rPr>
                <w:rFonts w:ascii="Calibri" w:hAnsi="Calibri"/>
                <w:color w:val="1F1F1F"/>
                <w:sz w:val="16"/>
              </w:rPr>
              <w:t>ON DELETE CASCADE</w:t>
            </w:r>
          </w:p>
        </w:tc>
      </w:tr>
      <w:tr>
        <w:trPr>
          <w:cantSplit/>
        </w:trPr>
        <w:tc>
          <w:tcPr>
            <w:tcW w:type="dxa" w:w="3312"/>
          </w:tcPr>
          <w:p>
            <w:pPr>
              <w:spacing w:after="60"/>
            </w:pPr>
            <w:r>
              <w:rPr>
                <w:rFonts w:ascii="Calibri" w:hAnsi="Calibri"/>
                <w:color w:val="1F1F1F"/>
                <w:sz w:val="16"/>
              </w:rPr>
              <w:t>change_type</w:t>
            </w:r>
          </w:p>
        </w:tc>
        <w:tc>
          <w:tcPr>
            <w:tcW w:type="dxa" w:w="3024"/>
          </w:tcPr>
          <w:p>
            <w:pPr>
              <w:spacing w:after="60"/>
            </w:pPr>
            <w:r>
              <w:rPr>
                <w:rFonts w:ascii="Calibri" w:hAnsi="Calibri"/>
                <w:color w:val="1F1F1F"/>
                <w:sz w:val="16"/>
              </w:rPr>
              <w:t>VARCHAR(50) NOT NULL</w:t>
            </w:r>
          </w:p>
        </w:tc>
        <w:tc>
          <w:tcPr>
            <w:tcW w:type="dxa" w:w="3024"/>
          </w:tcPr>
          <w:p>
            <w:pPr>
              <w:spacing w:after="60"/>
            </w:pPr>
            <w:r>
              <w:rPr>
                <w:rFonts w:ascii="Calibri" w:hAnsi="Calibri"/>
                <w:color w:val="1F1F1F"/>
                <w:sz w:val="16"/>
              </w:rPr>
              <w:t>BANK_CHANGE / GST_SUSPENDED / MSME_CLASS_SHIFT</w:t>
            </w:r>
          </w:p>
        </w:tc>
      </w:tr>
      <w:tr>
        <w:trPr>
          <w:cantSplit/>
        </w:trPr>
        <w:tc>
          <w:tcPr>
            <w:tcW w:type="dxa" w:w="3312"/>
          </w:tcPr>
          <w:p>
            <w:pPr>
              <w:spacing w:after="60"/>
            </w:pPr>
            <w:r>
              <w:rPr>
                <w:rFonts w:ascii="Calibri" w:hAnsi="Calibri"/>
                <w:color w:val="1F1F1F"/>
                <w:sz w:val="16"/>
              </w:rPr>
              <w:t>severity</w:t>
            </w:r>
          </w:p>
        </w:tc>
        <w:tc>
          <w:tcPr>
            <w:tcW w:type="dxa" w:w="3024"/>
          </w:tcPr>
          <w:p>
            <w:pPr>
              <w:spacing w:after="60"/>
            </w:pPr>
            <w:r>
              <w:rPr>
                <w:rFonts w:ascii="Calibri" w:hAnsi="Calibri"/>
                <w:color w:val="1F1F1F"/>
                <w:sz w:val="16"/>
              </w:rPr>
              <w:t>ENUM alert_severity NOT NULL</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affected_process / routed_to_role</w:t>
            </w:r>
          </w:p>
        </w:tc>
        <w:tc>
          <w:tcPr>
            <w:tcW w:type="dxa" w:w="3024"/>
          </w:tcPr>
          <w:p>
            <w:pPr>
              <w:spacing w:after="60"/>
            </w:pPr>
            <w:r>
              <w:rPr>
                <w:rFonts w:ascii="Calibri" w:hAnsi="Calibri"/>
                <w:color w:val="1F1F1F"/>
                <w:sz w:val="16"/>
              </w:rPr>
              <w:t>VARCHAR(50) NOT NULL</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raw_delta</w:t>
            </w:r>
          </w:p>
        </w:tc>
        <w:tc>
          <w:tcPr>
            <w:tcW w:type="dxa" w:w="3024"/>
          </w:tcPr>
          <w:p>
            <w:pPr>
              <w:spacing w:after="60"/>
            </w:pPr>
            <w:r>
              <w:rPr>
                <w:rFonts w:ascii="Calibri" w:hAnsi="Calibri"/>
                <w:color w:val="1F1F1F"/>
                <w:sz w:val="16"/>
              </w:rPr>
              <w:t>JSONB NOT NULL</w:t>
            </w:r>
          </w:p>
        </w:tc>
        <w:tc>
          <w:tcPr>
            <w:tcW w:type="dxa" w:w="3024"/>
          </w:tcPr>
          <w:p>
            <w:pPr>
              <w:spacing w:after="60"/>
            </w:pPr>
            <w:r>
              <w:rPr>
                <w:rFonts w:ascii="Calibri" w:hAnsi="Calibri"/>
                <w:color w:val="1F1F1F"/>
                <w:sz w:val="16"/>
              </w:rPr>
              <w:t>{"before": ..., "after": ...}</w:t>
            </w:r>
          </w:p>
        </w:tc>
      </w:tr>
      <w:tr>
        <w:trPr>
          <w:cantSplit/>
        </w:trPr>
        <w:tc>
          <w:tcPr>
            <w:tcW w:type="dxa" w:w="3312"/>
          </w:tcPr>
          <w:p>
            <w:pPr>
              <w:spacing w:after="60"/>
            </w:pPr>
            <w:r>
              <w:rPr>
                <w:rFonts w:ascii="Calibri" w:hAnsi="Calibri"/>
                <w:color w:val="1F1F1F"/>
                <w:sz w:val="16"/>
              </w:rPr>
              <w:t>status</w:t>
            </w:r>
          </w:p>
        </w:tc>
        <w:tc>
          <w:tcPr>
            <w:tcW w:type="dxa" w:w="3024"/>
          </w:tcPr>
          <w:p>
            <w:pPr>
              <w:spacing w:after="60"/>
            </w:pPr>
            <w:r>
              <w:rPr>
                <w:rFonts w:ascii="Calibri" w:hAnsi="Calibri"/>
                <w:color w:val="1F1F1F"/>
                <w:sz w:val="16"/>
              </w:rPr>
              <w:t>ENUM alert_status NOT NULL</w:t>
            </w:r>
          </w:p>
        </w:tc>
        <w:tc>
          <w:tcPr>
            <w:tcW w:type="dxa" w:w="3024"/>
          </w:tcPr>
          <w:p>
            <w:pPr>
              <w:spacing w:after="60"/>
            </w:pPr>
            <w:r>
              <w:rPr>
                <w:rFonts w:ascii="Calibri" w:hAnsi="Calibri"/>
                <w:color w:val="1F1F1F"/>
                <w:sz w:val="16"/>
              </w:rPr>
              <w:t>NEW / ASSIGNED / REASSESSED / RESOLVED / MUTED, default NEW</w:t>
            </w:r>
          </w:p>
        </w:tc>
      </w:tr>
      <w:tr>
        <w:trPr>
          <w:cantSplit/>
        </w:trPr>
        <w:tc>
          <w:tcPr>
            <w:tcW w:type="dxa" w:w="3312"/>
          </w:tcPr>
          <w:p>
            <w:pPr>
              <w:spacing w:after="60"/>
            </w:pPr>
            <w:r>
              <w:rPr>
                <w:rFonts w:ascii="Calibri" w:hAnsi="Calibri"/>
                <w:color w:val="1F1F1F"/>
                <w:sz w:val="16"/>
              </w:rPr>
              <w:t>created_at / updated_at</w:t>
            </w:r>
          </w:p>
        </w:tc>
        <w:tc>
          <w:tcPr>
            <w:tcW w:type="dxa" w:w="3024"/>
          </w:tcPr>
          <w:p>
            <w:pPr>
              <w:spacing w:after="60"/>
            </w:pPr>
            <w:r>
              <w:rPr>
                <w:rFonts w:ascii="Calibri" w:hAnsi="Calibri"/>
                <w:color w:val="1F1F1F"/>
                <w:sz w:val="16"/>
              </w:rPr>
              <w:t>TIMESTAMPTZ NOT NULL</w:t>
            </w:r>
          </w:p>
        </w:tc>
        <w:tc>
          <w:tcPr>
            <w:tcW w:type="dxa" w:w="3024"/>
          </w:tcPr>
          <w:p>
            <w:pPr>
              <w:spacing w:after="60"/>
            </w:pPr>
            <w:r>
              <w:rPr>
                <w:rFonts w:ascii="Calibri" w:hAnsi="Calibri"/>
                <w:color w:val="1F1F1F"/>
                <w:sz w:val="16"/>
              </w:rPr>
            </w:r>
          </w:p>
        </w:tc>
      </w:tr>
    </w:tbl>
    <w:p>
      <w:pPr>
        <w:spacing w:after="40"/>
      </w:pPr>
    </w:p>
    <w:p>
      <w:pPr>
        <w:pStyle w:val="Heading3"/>
      </w:pPr>
      <w:r>
        <w:t>consent_records</w:t>
      </w:r>
    </w:p>
    <w:p>
      <w:r>
        <w:rPr>
          <w:b w:val="0"/>
          <w:i/>
          <w:color w:val="555555"/>
          <w:sz w:val="19"/>
        </w:rPr>
        <w:t>The DPDP Act, 2023 consent trail — mandatory, not optional.</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rPr>
          <w:cantSplit/>
        </w:trPr>
        <w:tc>
          <w:tcPr>
            <w:tcW w:type="dxa" w:w="3312"/>
            <w:shd w:val="clear" w:color="auto" w:fill="1F5C57"/>
          </w:tcPr>
          <w:p>
            <w:pPr>
              <w:spacing w:after="60"/>
            </w:pPr>
            <w:r>
              <w:rPr>
                <w:rFonts w:ascii="Calibri" w:hAnsi="Calibri"/>
                <w:color w:val="1F1F1F"/>
                <w:sz w:val="16"/>
              </w:rPr>
              <w:t>Column</w:t>
            </w:r>
          </w:p>
        </w:tc>
        <w:tc>
          <w:tcPr>
            <w:tcW w:type="dxa" w:w="3024"/>
            <w:shd w:val="clear" w:color="auto" w:fill="1F5C57"/>
          </w:tcPr>
          <w:p>
            <w:pPr>
              <w:spacing w:after="60"/>
            </w:pPr>
            <w:r>
              <w:rPr>
                <w:rFonts w:ascii="Calibri" w:hAnsi="Calibri"/>
                <w:color w:val="1F1F1F"/>
                <w:sz w:val="16"/>
              </w:rPr>
              <w:t>Type</w:t>
            </w:r>
          </w:p>
        </w:tc>
        <w:tc>
          <w:tcPr>
            <w:tcW w:type="dxa" w:w="3024"/>
            <w:shd w:val="clear" w:color="auto" w:fill="1F5C57"/>
          </w:tcPr>
          <w:p>
            <w:pPr>
              <w:spacing w:after="60"/>
            </w:pPr>
            <w:r>
              <w:rPr>
                <w:rFonts w:ascii="Calibri" w:hAnsi="Calibri"/>
                <w:color w:val="1F1F1F"/>
                <w:sz w:val="16"/>
              </w:rPr>
              <w:t>Notes</w:t>
            </w:r>
          </w:p>
        </w:tc>
      </w:tr>
      <w:tr>
        <w:trPr>
          <w:cantSplit/>
        </w:trPr>
        <w:tc>
          <w:tcPr>
            <w:tcW w:type="dxa" w:w="3312"/>
          </w:tcPr>
          <w:p>
            <w:pPr>
              <w:spacing w:after="60"/>
            </w:pPr>
            <w:r>
              <w:rPr>
                <w:rFonts w:ascii="Calibri" w:hAnsi="Calibri"/>
                <w:color w:val="1F1F1F"/>
                <w:sz w:val="16"/>
              </w:rPr>
              <w:t>id</w:t>
            </w:r>
          </w:p>
        </w:tc>
        <w:tc>
          <w:tcPr>
            <w:tcW w:type="dxa" w:w="3024"/>
          </w:tcPr>
          <w:p>
            <w:pPr>
              <w:spacing w:after="60"/>
            </w:pPr>
            <w:r>
              <w:rPr>
                <w:rFonts w:ascii="Calibri" w:hAnsi="Calibri"/>
                <w:color w:val="1F1F1F"/>
                <w:sz w:val="16"/>
              </w:rPr>
              <w:t>UUID, PK</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vendor_id</w:t>
            </w:r>
          </w:p>
        </w:tc>
        <w:tc>
          <w:tcPr>
            <w:tcW w:type="dxa" w:w="3024"/>
          </w:tcPr>
          <w:p>
            <w:pPr>
              <w:spacing w:after="60"/>
            </w:pPr>
            <w:r>
              <w:rPr>
                <w:rFonts w:ascii="Calibri" w:hAnsi="Calibri"/>
                <w:color w:val="1F1F1F"/>
                <w:sz w:val="16"/>
              </w:rPr>
              <w:t>UUID, FK → vendors(id)</w:t>
            </w:r>
          </w:p>
        </w:tc>
        <w:tc>
          <w:tcPr>
            <w:tcW w:type="dxa" w:w="3024"/>
          </w:tcPr>
          <w:p>
            <w:pPr>
              <w:spacing w:after="60"/>
            </w:pPr>
            <w:r>
              <w:rPr>
                <w:rFonts w:ascii="Calibri" w:hAnsi="Calibri"/>
                <w:color w:val="1F1F1F"/>
                <w:sz w:val="16"/>
              </w:rPr>
              <w:t>ON DELETE CASCADE</w:t>
            </w:r>
          </w:p>
        </w:tc>
      </w:tr>
      <w:tr>
        <w:trPr>
          <w:cantSplit/>
        </w:trPr>
        <w:tc>
          <w:tcPr>
            <w:tcW w:type="dxa" w:w="3312"/>
          </w:tcPr>
          <w:p>
            <w:pPr>
              <w:spacing w:after="60"/>
            </w:pPr>
            <w:r>
              <w:rPr>
                <w:rFonts w:ascii="Calibri" w:hAnsi="Calibri"/>
                <w:color w:val="1F1F1F"/>
                <w:sz w:val="16"/>
              </w:rPr>
              <w:t>purpose</w:t>
            </w:r>
          </w:p>
        </w:tc>
        <w:tc>
          <w:tcPr>
            <w:tcW w:type="dxa" w:w="3024"/>
          </w:tcPr>
          <w:p>
            <w:pPr>
              <w:spacing w:after="60"/>
            </w:pPr>
            <w:r>
              <w:rPr>
                <w:rFonts w:ascii="Calibri" w:hAnsi="Calibri"/>
                <w:color w:val="1F1F1F"/>
                <w:sz w:val="16"/>
              </w:rPr>
              <w:t>TEXT NOT NULL</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consent_given_at</w:t>
            </w:r>
          </w:p>
        </w:tc>
        <w:tc>
          <w:tcPr>
            <w:tcW w:type="dxa" w:w="3024"/>
          </w:tcPr>
          <w:p>
            <w:pPr>
              <w:spacing w:after="60"/>
            </w:pPr>
            <w:r>
              <w:rPr>
                <w:rFonts w:ascii="Calibri" w:hAnsi="Calibri"/>
                <w:color w:val="1F1F1F"/>
                <w:sz w:val="16"/>
              </w:rPr>
              <w:t>TIMESTAMPTZ NOT NULL</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consent_manager_ref</w:t>
            </w:r>
          </w:p>
        </w:tc>
        <w:tc>
          <w:tcPr>
            <w:tcW w:type="dxa" w:w="3024"/>
          </w:tcPr>
          <w:p>
            <w:pPr>
              <w:spacing w:after="60"/>
            </w:pPr>
            <w:r>
              <w:rPr>
                <w:rFonts w:ascii="Calibri" w:hAnsi="Calibri"/>
                <w:color w:val="1F1F1F"/>
                <w:sz w:val="16"/>
              </w:rPr>
              <w:t>VARCHAR(255) NOT NULL</w:t>
            </w:r>
          </w:p>
        </w:tc>
        <w:tc>
          <w:tcPr>
            <w:tcW w:type="dxa" w:w="3024"/>
          </w:tcPr>
          <w:p>
            <w:pPr>
              <w:spacing w:after="60"/>
            </w:pPr>
            <w:r>
              <w:rPr>
                <w:rFonts w:ascii="Calibri" w:hAnsi="Calibri"/>
                <w:color w:val="1F1F1F"/>
                <w:sz w:val="16"/>
              </w:rPr>
              <w:t>consent manager API key / transaction ref</w:t>
            </w:r>
          </w:p>
        </w:tc>
      </w:tr>
      <w:tr>
        <w:trPr>
          <w:cantSplit/>
        </w:trPr>
        <w:tc>
          <w:tcPr>
            <w:tcW w:type="dxa" w:w="3312"/>
          </w:tcPr>
          <w:p>
            <w:pPr>
              <w:spacing w:after="60"/>
            </w:pPr>
            <w:r>
              <w:rPr>
                <w:rFonts w:ascii="Calibri" w:hAnsi="Calibri"/>
                <w:color w:val="1F1F1F"/>
                <w:sz w:val="16"/>
              </w:rPr>
              <w:t>is_withdrawn</w:t>
            </w:r>
          </w:p>
        </w:tc>
        <w:tc>
          <w:tcPr>
            <w:tcW w:type="dxa" w:w="3024"/>
          </w:tcPr>
          <w:p>
            <w:pPr>
              <w:spacing w:after="60"/>
            </w:pPr>
            <w:r>
              <w:rPr>
                <w:rFonts w:ascii="Calibri" w:hAnsi="Calibri"/>
                <w:color w:val="1F1F1F"/>
                <w:sz w:val="16"/>
              </w:rPr>
              <w:t>BOOLEAN NOT NULL</w:t>
            </w:r>
          </w:p>
        </w:tc>
        <w:tc>
          <w:tcPr>
            <w:tcW w:type="dxa" w:w="3024"/>
          </w:tcPr>
          <w:p>
            <w:pPr>
              <w:spacing w:after="60"/>
            </w:pPr>
            <w:r>
              <w:rPr>
                <w:rFonts w:ascii="Calibri" w:hAnsi="Calibri"/>
                <w:color w:val="1F1F1F"/>
                <w:sz w:val="16"/>
              </w:rPr>
              <w:t>default FALSE</w:t>
            </w:r>
          </w:p>
        </w:tc>
      </w:tr>
      <w:tr>
        <w:trPr>
          <w:cantSplit/>
        </w:trPr>
        <w:tc>
          <w:tcPr>
            <w:tcW w:type="dxa" w:w="3312"/>
          </w:tcPr>
          <w:p>
            <w:pPr>
              <w:spacing w:after="60"/>
            </w:pPr>
            <w:r>
              <w:rPr>
                <w:rFonts w:ascii="Calibri" w:hAnsi="Calibri"/>
                <w:color w:val="1F1F1F"/>
                <w:sz w:val="16"/>
              </w:rPr>
              <w:t>withdrawn_at</w:t>
            </w:r>
          </w:p>
        </w:tc>
        <w:tc>
          <w:tcPr>
            <w:tcW w:type="dxa" w:w="3024"/>
          </w:tcPr>
          <w:p>
            <w:pPr>
              <w:spacing w:after="60"/>
            </w:pPr>
            <w:r>
              <w:rPr>
                <w:rFonts w:ascii="Calibri" w:hAnsi="Calibri"/>
                <w:color w:val="1F1F1F"/>
                <w:sz w:val="16"/>
              </w:rPr>
              <w:t>TIMESTAMPTZ</w:t>
            </w:r>
          </w:p>
        </w:tc>
        <w:tc>
          <w:tcPr>
            <w:tcW w:type="dxa" w:w="3024"/>
          </w:tcPr>
          <w:p>
            <w:pPr>
              <w:spacing w:after="60"/>
            </w:pPr>
            <w:r>
              <w:rPr>
                <w:rFonts w:ascii="Calibri" w:hAnsi="Calibri"/>
                <w:color w:val="1F1F1F"/>
                <w:sz w:val="16"/>
              </w:rPr>
            </w:r>
          </w:p>
        </w:tc>
      </w:tr>
    </w:tbl>
    <w:p>
      <w:pPr>
        <w:spacing w:after="40"/>
      </w:pPr>
    </w:p>
    <w:p>
      <w:pPr>
        <w:pStyle w:val="Heading3"/>
      </w:pPr>
      <w:r>
        <w:t>erp_connections</w:t>
      </w:r>
    </w:p>
    <w:p>
      <w:r>
        <w:rPr>
          <w:b w:val="0"/>
          <w:i/>
          <w:color w:val="555555"/>
          <w:sz w:val="19"/>
        </w:rPr>
        <w:t>One row per buyer's SAP or Oracle connection.</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rPr>
          <w:cantSplit/>
        </w:trPr>
        <w:tc>
          <w:tcPr>
            <w:tcW w:type="dxa" w:w="3312"/>
            <w:shd w:val="clear" w:color="auto" w:fill="1F5C57"/>
          </w:tcPr>
          <w:p>
            <w:pPr>
              <w:spacing w:after="60"/>
            </w:pPr>
            <w:r>
              <w:rPr>
                <w:rFonts w:ascii="Calibri" w:hAnsi="Calibri"/>
                <w:color w:val="1F1F1F"/>
                <w:sz w:val="16"/>
              </w:rPr>
              <w:t>Column</w:t>
            </w:r>
          </w:p>
        </w:tc>
        <w:tc>
          <w:tcPr>
            <w:tcW w:type="dxa" w:w="3024"/>
            <w:shd w:val="clear" w:color="auto" w:fill="1F5C57"/>
          </w:tcPr>
          <w:p>
            <w:pPr>
              <w:spacing w:after="60"/>
            </w:pPr>
            <w:r>
              <w:rPr>
                <w:rFonts w:ascii="Calibri" w:hAnsi="Calibri"/>
                <w:color w:val="1F1F1F"/>
                <w:sz w:val="16"/>
              </w:rPr>
              <w:t>Type</w:t>
            </w:r>
          </w:p>
        </w:tc>
        <w:tc>
          <w:tcPr>
            <w:tcW w:type="dxa" w:w="3024"/>
            <w:shd w:val="clear" w:color="auto" w:fill="1F5C57"/>
          </w:tcPr>
          <w:p>
            <w:pPr>
              <w:spacing w:after="60"/>
            </w:pPr>
            <w:r>
              <w:rPr>
                <w:rFonts w:ascii="Calibri" w:hAnsi="Calibri"/>
                <w:color w:val="1F1F1F"/>
                <w:sz w:val="16"/>
              </w:rPr>
              <w:t>Notes</w:t>
            </w:r>
          </w:p>
        </w:tc>
      </w:tr>
      <w:tr>
        <w:trPr>
          <w:cantSplit/>
        </w:trPr>
        <w:tc>
          <w:tcPr>
            <w:tcW w:type="dxa" w:w="3312"/>
          </w:tcPr>
          <w:p>
            <w:pPr>
              <w:spacing w:after="60"/>
            </w:pPr>
            <w:r>
              <w:rPr>
                <w:rFonts w:ascii="Calibri" w:hAnsi="Calibri"/>
                <w:color w:val="1F1F1F"/>
                <w:sz w:val="16"/>
              </w:rPr>
              <w:t>id</w:t>
            </w:r>
          </w:p>
        </w:tc>
        <w:tc>
          <w:tcPr>
            <w:tcW w:type="dxa" w:w="3024"/>
          </w:tcPr>
          <w:p>
            <w:pPr>
              <w:spacing w:after="60"/>
            </w:pPr>
            <w:r>
              <w:rPr>
                <w:rFonts w:ascii="Calibri" w:hAnsi="Calibri"/>
                <w:color w:val="1F1F1F"/>
                <w:sz w:val="16"/>
              </w:rPr>
              <w:t>UUID, PK</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buyer_id</w:t>
            </w:r>
          </w:p>
        </w:tc>
        <w:tc>
          <w:tcPr>
            <w:tcW w:type="dxa" w:w="3024"/>
          </w:tcPr>
          <w:p>
            <w:pPr>
              <w:spacing w:after="60"/>
            </w:pPr>
            <w:r>
              <w:rPr>
                <w:rFonts w:ascii="Calibri" w:hAnsi="Calibri"/>
                <w:color w:val="1F1F1F"/>
                <w:sz w:val="16"/>
              </w:rPr>
              <w:t>UUID, FK → buyers(id)</w:t>
            </w:r>
          </w:p>
        </w:tc>
        <w:tc>
          <w:tcPr>
            <w:tcW w:type="dxa" w:w="3024"/>
          </w:tcPr>
          <w:p>
            <w:pPr>
              <w:spacing w:after="60"/>
            </w:pPr>
            <w:r>
              <w:rPr>
                <w:rFonts w:ascii="Calibri" w:hAnsi="Calibri"/>
                <w:color w:val="1F1F1F"/>
                <w:sz w:val="16"/>
              </w:rPr>
              <w:t>ON DELETE CASCADE</w:t>
            </w:r>
          </w:p>
        </w:tc>
      </w:tr>
      <w:tr>
        <w:trPr>
          <w:cantSplit/>
        </w:trPr>
        <w:tc>
          <w:tcPr>
            <w:tcW w:type="dxa" w:w="3312"/>
          </w:tcPr>
          <w:p>
            <w:pPr>
              <w:spacing w:after="60"/>
            </w:pPr>
            <w:r>
              <w:rPr>
                <w:rFonts w:ascii="Calibri" w:hAnsi="Calibri"/>
                <w:color w:val="1F1F1F"/>
                <w:sz w:val="16"/>
              </w:rPr>
              <w:t>erp_type</w:t>
            </w:r>
          </w:p>
        </w:tc>
        <w:tc>
          <w:tcPr>
            <w:tcW w:type="dxa" w:w="3024"/>
          </w:tcPr>
          <w:p>
            <w:pPr>
              <w:spacing w:after="60"/>
            </w:pPr>
            <w:r>
              <w:rPr>
                <w:rFonts w:ascii="Calibri" w:hAnsi="Calibri"/>
                <w:color w:val="1F1F1F"/>
                <w:sz w:val="16"/>
              </w:rPr>
              <w:t>ENUM erp_provider NOT NULL</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connection_status</w:t>
            </w:r>
          </w:p>
        </w:tc>
        <w:tc>
          <w:tcPr>
            <w:tcW w:type="dxa" w:w="3024"/>
          </w:tcPr>
          <w:p>
            <w:pPr>
              <w:spacing w:after="60"/>
            </w:pPr>
            <w:r>
              <w:rPr>
                <w:rFonts w:ascii="Calibri" w:hAnsi="Calibri"/>
                <w:color w:val="1F1F1F"/>
                <w:sz w:val="16"/>
              </w:rPr>
              <w:t>VARCHAR(50) NOT NULL</w:t>
            </w:r>
          </w:p>
        </w:tc>
        <w:tc>
          <w:tcPr>
            <w:tcW w:type="dxa" w:w="3024"/>
          </w:tcPr>
          <w:p>
            <w:pPr>
              <w:spacing w:after="60"/>
            </w:pPr>
            <w:r>
              <w:rPr>
                <w:rFonts w:ascii="Calibri" w:hAnsi="Calibri"/>
                <w:color w:val="1F1F1F"/>
                <w:sz w:val="16"/>
              </w:rPr>
              <w:t>CONNECTED / DEGRADED / DISCONNECTED</w:t>
            </w:r>
          </w:p>
        </w:tc>
      </w:tr>
      <w:tr>
        <w:trPr>
          <w:cantSplit/>
        </w:trPr>
        <w:tc>
          <w:tcPr>
            <w:tcW w:type="dxa" w:w="3312"/>
          </w:tcPr>
          <w:p>
            <w:pPr>
              <w:spacing w:after="60"/>
            </w:pPr>
            <w:r>
              <w:rPr>
                <w:rFonts w:ascii="Calibri" w:hAnsi="Calibri"/>
                <w:color w:val="1F1F1F"/>
                <w:sz w:val="16"/>
              </w:rPr>
              <w:t>last_synced_at</w:t>
            </w:r>
          </w:p>
        </w:tc>
        <w:tc>
          <w:tcPr>
            <w:tcW w:type="dxa" w:w="3024"/>
          </w:tcPr>
          <w:p>
            <w:pPr>
              <w:spacing w:after="60"/>
            </w:pPr>
            <w:r>
              <w:rPr>
                <w:rFonts w:ascii="Calibri" w:hAnsi="Calibri"/>
                <w:color w:val="1F1F1F"/>
                <w:sz w:val="16"/>
              </w:rPr>
              <w:t>TIMESTAMPTZ</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sync_direction</w:t>
            </w:r>
          </w:p>
        </w:tc>
        <w:tc>
          <w:tcPr>
            <w:tcW w:type="dxa" w:w="3024"/>
          </w:tcPr>
          <w:p>
            <w:pPr>
              <w:spacing w:after="60"/>
            </w:pPr>
            <w:r>
              <w:rPr>
                <w:rFonts w:ascii="Calibri" w:hAnsi="Calibri"/>
                <w:color w:val="1F1F1F"/>
                <w:sz w:val="16"/>
              </w:rPr>
              <w:t>ENUM sync_dir NOT NULL</w:t>
            </w:r>
          </w:p>
        </w:tc>
        <w:tc>
          <w:tcPr>
            <w:tcW w:type="dxa" w:w="3024"/>
          </w:tcPr>
          <w:p>
            <w:pPr>
              <w:spacing w:after="60"/>
            </w:pPr>
            <w:r>
              <w:rPr>
                <w:rFonts w:ascii="Calibri" w:hAnsi="Calibri"/>
                <w:color w:val="1F1F1F"/>
                <w:sz w:val="16"/>
              </w:rPr>
              <w:t>INBOUND = pull-only (buyer's ERP calls Section 3.G/3.H) / OUTBOUND = push-only (Pramaan calls Section 3.E/3.F) / TWO_WAY = both active</w:t>
            </w:r>
          </w:p>
        </w:tc>
      </w:tr>
      <w:tr>
        <w:trPr>
          <w:cantSplit/>
        </w:trPr>
        <w:tc>
          <w:tcPr>
            <w:tcW w:type="dxa" w:w="3312"/>
          </w:tcPr>
          <w:p>
            <w:pPr>
              <w:spacing w:after="60"/>
            </w:pPr>
            <w:r>
              <w:rPr>
                <w:rFonts w:ascii="Calibri" w:hAnsi="Calibri"/>
                <w:color w:val="1F1F1F"/>
                <w:sz w:val="16"/>
              </w:rPr>
              <w:t>last_pull_watermark</w:t>
            </w:r>
          </w:p>
        </w:tc>
        <w:tc>
          <w:tcPr>
            <w:tcW w:type="dxa" w:w="3024"/>
          </w:tcPr>
          <w:p>
            <w:pPr>
              <w:spacing w:after="60"/>
            </w:pPr>
            <w:r>
              <w:rPr>
                <w:rFonts w:ascii="Calibri" w:hAnsi="Calibri"/>
                <w:color w:val="1F1F1F"/>
                <w:sz w:val="16"/>
              </w:rPr>
              <w:t>TIMESTAMPTZ</w:t>
            </w:r>
          </w:p>
        </w:tc>
        <w:tc>
          <w:tcPr>
            <w:tcW w:type="dxa" w:w="3024"/>
          </w:tcPr>
          <w:p>
            <w:pPr>
              <w:spacing w:after="60"/>
            </w:pPr>
            <w:r>
              <w:rPr>
                <w:rFonts w:ascii="Calibri" w:hAnsi="Calibri"/>
                <w:color w:val="1F1F1F"/>
                <w:sz w:val="16"/>
              </w:rPr>
              <w:t>for INBOUND/TWO_WAY only — the `next_since` cursor the buyer's ERP last used against the incremental change feed</w:t>
            </w:r>
          </w:p>
        </w:tc>
      </w:tr>
      <w:tr>
        <w:trPr>
          <w:cantSplit/>
        </w:trPr>
        <w:tc>
          <w:tcPr>
            <w:tcW w:type="dxa" w:w="3312"/>
          </w:tcPr>
          <w:p>
            <w:pPr>
              <w:spacing w:after="60"/>
            </w:pPr>
            <w:r>
              <w:rPr>
                <w:rFonts w:ascii="Calibri" w:hAnsi="Calibri"/>
                <w:color w:val="1F1F1F"/>
                <w:sz w:val="16"/>
              </w:rPr>
              <w:t>credentials_vault_ref</w:t>
            </w:r>
          </w:p>
        </w:tc>
        <w:tc>
          <w:tcPr>
            <w:tcW w:type="dxa" w:w="3024"/>
          </w:tcPr>
          <w:p>
            <w:pPr>
              <w:spacing w:after="60"/>
            </w:pPr>
            <w:r>
              <w:rPr>
                <w:rFonts w:ascii="Calibri" w:hAnsi="Calibri"/>
                <w:color w:val="1F1F1F"/>
                <w:sz w:val="16"/>
              </w:rPr>
              <w:t>VARCHAR(255) NOT NULL</w:t>
            </w:r>
          </w:p>
        </w:tc>
        <w:tc>
          <w:tcPr>
            <w:tcW w:type="dxa" w:w="3024"/>
          </w:tcPr>
          <w:p>
            <w:pPr>
              <w:spacing w:after="60"/>
            </w:pPr>
            <w:r>
              <w:rPr>
                <w:rFonts w:ascii="Calibri" w:hAnsi="Calibri"/>
                <w:color w:val="1F1F1F"/>
                <w:sz w:val="16"/>
              </w:rPr>
              <w:t>vault/KMS reference, never raw credentials</w:t>
            </w:r>
          </w:p>
        </w:tc>
      </w:tr>
    </w:tbl>
    <w:p>
      <w:pPr>
        <w:spacing w:after="40"/>
      </w:pPr>
    </w:p>
    <w:p>
      <w:pPr>
        <w:pStyle w:val="Heading3"/>
      </w:pPr>
      <w:r>
        <w:t>audit_log_entries</w:t>
      </w:r>
    </w:p>
    <w:p>
      <w:r>
        <w:rPr>
          <w:b w:val="0"/>
          <w:i/>
          <w:color w:val="555555"/>
          <w:sz w:val="19"/>
        </w:rPr>
        <w:t>Immutable system audit log — append-only at the database layer.</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rPr>
          <w:cantSplit/>
        </w:trPr>
        <w:tc>
          <w:tcPr>
            <w:tcW w:type="dxa" w:w="3312"/>
            <w:shd w:val="clear" w:color="auto" w:fill="1F5C57"/>
          </w:tcPr>
          <w:p>
            <w:pPr>
              <w:spacing w:after="60"/>
            </w:pPr>
            <w:r>
              <w:rPr>
                <w:rFonts w:ascii="Calibri" w:hAnsi="Calibri"/>
                <w:color w:val="1F1F1F"/>
                <w:sz w:val="16"/>
              </w:rPr>
              <w:t>Column</w:t>
            </w:r>
          </w:p>
        </w:tc>
        <w:tc>
          <w:tcPr>
            <w:tcW w:type="dxa" w:w="3024"/>
            <w:shd w:val="clear" w:color="auto" w:fill="1F5C57"/>
          </w:tcPr>
          <w:p>
            <w:pPr>
              <w:spacing w:after="60"/>
            </w:pPr>
            <w:r>
              <w:rPr>
                <w:rFonts w:ascii="Calibri" w:hAnsi="Calibri"/>
                <w:color w:val="1F1F1F"/>
                <w:sz w:val="16"/>
              </w:rPr>
              <w:t>Type</w:t>
            </w:r>
          </w:p>
        </w:tc>
        <w:tc>
          <w:tcPr>
            <w:tcW w:type="dxa" w:w="3024"/>
            <w:shd w:val="clear" w:color="auto" w:fill="1F5C57"/>
          </w:tcPr>
          <w:p>
            <w:pPr>
              <w:spacing w:after="60"/>
            </w:pPr>
            <w:r>
              <w:rPr>
                <w:rFonts w:ascii="Calibri" w:hAnsi="Calibri"/>
                <w:color w:val="1F1F1F"/>
                <w:sz w:val="16"/>
              </w:rPr>
              <w:t>Notes</w:t>
            </w:r>
          </w:p>
        </w:tc>
      </w:tr>
      <w:tr>
        <w:trPr>
          <w:cantSplit/>
        </w:trPr>
        <w:tc>
          <w:tcPr>
            <w:tcW w:type="dxa" w:w="3312"/>
          </w:tcPr>
          <w:p>
            <w:pPr>
              <w:spacing w:after="60"/>
            </w:pPr>
            <w:r>
              <w:rPr>
                <w:rFonts w:ascii="Calibri" w:hAnsi="Calibri"/>
                <w:color w:val="1F1F1F"/>
                <w:sz w:val="16"/>
              </w:rPr>
              <w:t>id</w:t>
            </w:r>
          </w:p>
        </w:tc>
        <w:tc>
          <w:tcPr>
            <w:tcW w:type="dxa" w:w="3024"/>
          </w:tcPr>
          <w:p>
            <w:pPr>
              <w:spacing w:after="60"/>
            </w:pPr>
            <w:r>
              <w:rPr>
                <w:rFonts w:ascii="Calibri" w:hAnsi="Calibri"/>
                <w:color w:val="1F1F1F"/>
                <w:sz w:val="16"/>
              </w:rPr>
              <w:t>BIGSERIAL, PK</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entity_type</w:t>
            </w:r>
          </w:p>
        </w:tc>
        <w:tc>
          <w:tcPr>
            <w:tcW w:type="dxa" w:w="3024"/>
          </w:tcPr>
          <w:p>
            <w:pPr>
              <w:spacing w:after="60"/>
            </w:pPr>
            <w:r>
              <w:rPr>
                <w:rFonts w:ascii="Calibri" w:hAnsi="Calibri"/>
                <w:color w:val="1F1F1F"/>
                <w:sz w:val="16"/>
              </w:rPr>
              <w:t>VARCHAR(50) NOT NULL</w:t>
            </w:r>
          </w:p>
        </w:tc>
        <w:tc>
          <w:tcPr>
            <w:tcW w:type="dxa" w:w="3024"/>
          </w:tcPr>
          <w:p>
            <w:pPr>
              <w:spacing w:after="60"/>
            </w:pPr>
            <w:r>
              <w:rPr>
                <w:rFonts w:ascii="Calibri" w:hAnsi="Calibri"/>
                <w:color w:val="1F1F1F"/>
                <w:sz w:val="16"/>
              </w:rPr>
              <w:t>trust_passports / alerts / consent_records</w:t>
            </w:r>
          </w:p>
        </w:tc>
      </w:tr>
      <w:tr>
        <w:trPr>
          <w:cantSplit/>
        </w:trPr>
        <w:tc>
          <w:tcPr>
            <w:tcW w:type="dxa" w:w="3312"/>
          </w:tcPr>
          <w:p>
            <w:pPr>
              <w:spacing w:after="60"/>
            </w:pPr>
            <w:r>
              <w:rPr>
                <w:rFonts w:ascii="Calibri" w:hAnsi="Calibri"/>
                <w:color w:val="1F1F1F"/>
                <w:sz w:val="16"/>
              </w:rPr>
              <w:t>entity_id</w:t>
            </w:r>
          </w:p>
        </w:tc>
        <w:tc>
          <w:tcPr>
            <w:tcW w:type="dxa" w:w="3024"/>
          </w:tcPr>
          <w:p>
            <w:pPr>
              <w:spacing w:after="60"/>
            </w:pPr>
            <w:r>
              <w:rPr>
                <w:rFonts w:ascii="Calibri" w:hAnsi="Calibri"/>
                <w:color w:val="1F1F1F"/>
                <w:sz w:val="16"/>
              </w:rPr>
              <w:t>UUID NOT NULL</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action</w:t>
            </w:r>
          </w:p>
        </w:tc>
        <w:tc>
          <w:tcPr>
            <w:tcW w:type="dxa" w:w="3024"/>
          </w:tcPr>
          <w:p>
            <w:pPr>
              <w:spacing w:after="60"/>
            </w:pPr>
            <w:r>
              <w:rPr>
                <w:rFonts w:ascii="Calibri" w:hAnsi="Calibri"/>
                <w:color w:val="1F1F1F"/>
                <w:sz w:val="16"/>
              </w:rPr>
              <w:t>VARCHAR(50) NOT NULL</w:t>
            </w:r>
          </w:p>
        </w:tc>
        <w:tc>
          <w:tcPr>
            <w:tcW w:type="dxa" w:w="3024"/>
          </w:tcPr>
          <w:p>
            <w:pPr>
              <w:spacing w:after="60"/>
            </w:pPr>
            <w:r>
              <w:rPr>
                <w:rFonts w:ascii="Calibri" w:hAnsi="Calibri"/>
                <w:color w:val="1F1F1F"/>
                <w:sz w:val="16"/>
              </w:rPr>
              <w:t>CREATE / UPDATE / VERIFY_FAIL / ALERT_ROUTED</w:t>
            </w:r>
          </w:p>
        </w:tc>
      </w:tr>
      <w:tr>
        <w:trPr>
          <w:cantSplit/>
        </w:trPr>
        <w:tc>
          <w:tcPr>
            <w:tcW w:type="dxa" w:w="3312"/>
          </w:tcPr>
          <w:p>
            <w:pPr>
              <w:spacing w:after="60"/>
            </w:pPr>
            <w:r>
              <w:rPr>
                <w:rFonts w:ascii="Calibri" w:hAnsi="Calibri"/>
                <w:color w:val="1F1F1F"/>
                <w:sz w:val="16"/>
              </w:rPr>
              <w:t>actor</w:t>
            </w:r>
          </w:p>
        </w:tc>
        <w:tc>
          <w:tcPr>
            <w:tcW w:type="dxa" w:w="3024"/>
          </w:tcPr>
          <w:p>
            <w:pPr>
              <w:spacing w:after="60"/>
            </w:pPr>
            <w:r>
              <w:rPr>
                <w:rFonts w:ascii="Calibri" w:hAnsi="Calibri"/>
                <w:color w:val="1F1F1F"/>
                <w:sz w:val="16"/>
              </w:rPr>
              <w:t>VARCHAR(100) NOT NULL</w:t>
            </w:r>
          </w:p>
        </w:tc>
        <w:tc>
          <w:tcPr>
            <w:tcW w:type="dxa" w:w="3024"/>
          </w:tcPr>
          <w:p>
            <w:pPr>
              <w:spacing w:after="60"/>
            </w:pPr>
            <w:r>
              <w:rPr>
                <w:rFonts w:ascii="Calibri" w:hAnsi="Calibri"/>
                <w:color w:val="1F1F1F"/>
                <w:sz w:val="16"/>
              </w:rPr>
              <w:t>system_cme, or a user's email</w:t>
            </w:r>
          </w:p>
        </w:tc>
      </w:tr>
      <w:tr>
        <w:trPr>
          <w:cantSplit/>
        </w:trPr>
        <w:tc>
          <w:tcPr>
            <w:tcW w:type="dxa" w:w="3312"/>
          </w:tcPr>
          <w:p>
            <w:pPr>
              <w:spacing w:after="60"/>
            </w:pPr>
            <w:r>
              <w:rPr>
                <w:rFonts w:ascii="Calibri" w:hAnsi="Calibri"/>
                <w:color w:val="1F1F1F"/>
                <w:sz w:val="16"/>
              </w:rPr>
              <w:t>old_state / new_state</w:t>
            </w:r>
          </w:p>
        </w:tc>
        <w:tc>
          <w:tcPr>
            <w:tcW w:type="dxa" w:w="3024"/>
          </w:tcPr>
          <w:p>
            <w:pPr>
              <w:spacing w:after="60"/>
            </w:pPr>
            <w:r>
              <w:rPr>
                <w:rFonts w:ascii="Calibri" w:hAnsi="Calibri"/>
                <w:color w:val="1F1F1F"/>
                <w:sz w:val="16"/>
              </w:rPr>
              <w:t>JSONB</w:t>
            </w:r>
          </w:p>
        </w:tc>
        <w:tc>
          <w:tcPr>
            <w:tcW w:type="dxa" w:w="3024"/>
          </w:tcPr>
          <w:p>
            <w:pPr>
              <w:spacing w:after="60"/>
            </w:pPr>
            <w:r>
              <w:rPr>
                <w:rFonts w:ascii="Calibri" w:hAnsi="Calibri"/>
                <w:color w:val="1F1F1F"/>
                <w:sz w:val="16"/>
              </w:rPr>
            </w:r>
          </w:p>
        </w:tc>
      </w:tr>
      <w:tr>
        <w:trPr>
          <w:cantSplit/>
        </w:trPr>
        <w:tc>
          <w:tcPr>
            <w:tcW w:type="dxa" w:w="3312"/>
          </w:tcPr>
          <w:p>
            <w:pPr>
              <w:spacing w:after="60"/>
            </w:pPr>
            <w:r>
              <w:rPr>
                <w:rFonts w:ascii="Calibri" w:hAnsi="Calibri"/>
                <w:color w:val="1F1F1F"/>
                <w:sz w:val="16"/>
              </w:rPr>
              <w:t>timestamp</w:t>
            </w:r>
          </w:p>
        </w:tc>
        <w:tc>
          <w:tcPr>
            <w:tcW w:type="dxa" w:w="3024"/>
          </w:tcPr>
          <w:p>
            <w:pPr>
              <w:spacing w:after="60"/>
            </w:pPr>
            <w:r>
              <w:rPr>
                <w:rFonts w:ascii="Calibri" w:hAnsi="Calibri"/>
                <w:color w:val="1F1F1F"/>
                <w:sz w:val="16"/>
              </w:rPr>
              <w:t>TIMESTAMPTZ NOT NULL</w:t>
            </w:r>
          </w:p>
        </w:tc>
        <w:tc>
          <w:tcPr>
            <w:tcW w:type="dxa" w:w="3024"/>
          </w:tcPr>
          <w:p>
            <w:pPr>
              <w:spacing w:after="60"/>
            </w:pPr>
            <w:r>
              <w:rPr>
                <w:rFonts w:ascii="Calibri" w:hAnsi="Calibri"/>
                <w:color w:val="1F1F1F"/>
                <w:sz w:val="16"/>
              </w:rPr>
              <w:t>default now</w:t>
            </w:r>
          </w:p>
        </w:tc>
      </w:tr>
    </w:tbl>
    <w:p>
      <w:pPr>
        <w:spacing w:after="40"/>
      </w:pPr>
    </w:p>
    <w:p>
      <w:pPr>
        <w:pStyle w:val="Heading3"/>
      </w:pPr>
      <w:r>
        <w:t>Indexing Strategy</w:t>
      </w:r>
    </w:p>
    <w:tbl>
      <w:tblPr>
        <w:tblW w:type="auto" w:w="0"/>
        <w:jc w:val="left"/>
        <w:tblLook w:firstColumn="1" w:firstRow="1" w:lastColumn="0" w:lastRow="0" w:noHBand="0" w:noVBand="1" w:val="04A0"/>
        <w:tblBorders>
          <w:top w:val="single" w:sz="6" w:space="0" w:color="B0B0B0"/>
          <w:left w:val="single" w:sz="6" w:space="0" w:color="B0B0B0"/>
          <w:bottom w:val="single" w:sz="6" w:space="0" w:color="B0B0B0"/>
          <w:right w:val="single" w:sz="6" w:space="0" w:color="B0B0B0"/>
        </w:tblBorders>
      </w:tblPr>
      <w:tblGrid>
        <w:gridCol w:w="9360"/>
      </w:tblGrid>
      <w:tr>
        <w:tc>
          <w:tcPr>
            <w:tcW w:type="dxa" w:w="9360"/>
            <w:shd w:val="clear" w:color="auto" w:fill="F5F5F5"/>
          </w:tcPr>
          <w:p>
            <w:pPr>
              <w:spacing w:after="0"/>
            </w:pPr>
            <w:r>
              <w:rPr>
                <w:rFonts w:ascii="Consolas" w:hAnsi="Consolas"/>
                <w:color w:val="1F1F1F"/>
                <w:sz w:val="17"/>
              </w:rPr>
              <w:t>CREATE INDEX idx_passports_status ON trust_passports(status);</w:t>
            </w:r>
          </w:p>
          <w:p>
            <w:pPr>
              <w:spacing w:after="0"/>
            </w:pPr>
            <w:r>
              <w:rPr>
                <w:rFonts w:ascii="Consolas" w:hAnsi="Consolas"/>
                <w:color w:val="1F1F1F"/>
                <w:sz w:val="17"/>
              </w:rPr>
              <w:t>CREATE INDEX idx_passports_vendor ON trust_passports(vendor_id);</w:t>
            </w:r>
          </w:p>
          <w:p>
            <w:pPr>
              <w:spacing w:after="0"/>
            </w:pPr>
            <w:r>
              <w:rPr>
                <w:rFonts w:ascii="Consolas" w:hAnsi="Consolas"/>
                <w:color w:val="1F1F1F"/>
                <w:sz w:val="17"/>
              </w:rPr>
              <w:t>CREATE INDEX idx_verif_passport ON verification_records(passport_id);</w:t>
            </w:r>
          </w:p>
          <w:p>
            <w:pPr>
              <w:spacing w:after="0"/>
            </w:pPr>
            <w:r>
              <w:rPr>
                <w:rFonts w:ascii="Consolas" w:hAnsi="Consolas"/>
                <w:color w:val="1F1F1F"/>
                <w:sz w:val="17"/>
              </w:rPr>
              <w:t>CREATE INDEX idx_link_buyer ON buyer_vendor_links(buyer_id);</w:t>
            </w:r>
          </w:p>
          <w:p>
            <w:pPr>
              <w:spacing w:after="0"/>
            </w:pPr>
            <w:r>
              <w:rPr>
                <w:rFonts w:ascii="Consolas" w:hAnsi="Consolas"/>
                <w:color w:val="1F1F1F"/>
                <w:sz w:val="17"/>
              </w:rPr>
              <w:t>CREATE INDEX idx_link_vendor ON buyer_vendor_links(vendor_id);</w:t>
            </w:r>
          </w:p>
          <w:p>
            <w:pPr>
              <w:spacing w:after="0"/>
            </w:pPr>
            <w:r>
              <w:rPr>
                <w:rFonts w:ascii="Consolas" w:hAnsi="Consolas"/>
                <w:color w:val="1F1F1F"/>
                <w:sz w:val="17"/>
              </w:rPr>
              <w:t>CREATE INDEX idx_alerts_buyer_status ON alerts(buyer_id, status);</w:t>
            </w:r>
          </w:p>
          <w:p>
            <w:pPr>
              <w:spacing w:after="0"/>
            </w:pPr>
            <w:r>
              <w:rPr>
                <w:rFonts w:ascii="Consolas" w:hAnsi="Consolas"/>
                <w:color w:val="1F1F1F"/>
                <w:sz w:val="17"/>
              </w:rPr>
              <w:t>CREATE INDEX idx_audit_entity ON audit_log_entries(entity_type, entity_id);</w:t>
            </w:r>
          </w:p>
        </w:tc>
      </w:tr>
    </w:tbl>
    <w:p>
      <w:pPr>
        <w:spacing w:after="40"/>
      </w:pPr>
    </w:p>
    <w:p>
      <w:pPr>
        <w:pStyle w:val="Heading3"/>
      </w:pPr>
      <w:r>
        <w:t>Relationships at a Glance</w:t>
      </w:r>
    </w:p>
    <w:p>
      <w:pPr>
        <w:pStyle w:val="ListBullet"/>
        <w:spacing w:after="80"/>
        <w:ind w:left="403"/>
      </w:pPr>
      <w:r>
        <w:rPr>
          <w:color w:val="1F1F1F"/>
        </w:rPr>
        <w:t>vendors 1—1 trust_passports (a vendor has exactly one verified core record).</w:t>
      </w:r>
    </w:p>
    <w:p>
      <w:pPr>
        <w:pStyle w:val="ListBullet"/>
        <w:spacing w:after="80"/>
        <w:ind w:left="403"/>
      </w:pPr>
      <w:r>
        <w:rPr>
          <w:color w:val="1F1F1F"/>
        </w:rPr>
        <w:t>trust_passports 1—many verification_records (every field check ever run, kept forever).</w:t>
      </w:r>
    </w:p>
    <w:p>
      <w:pPr>
        <w:pStyle w:val="ListBullet"/>
        <w:spacing w:after="80"/>
        <w:ind w:left="403"/>
      </w:pPr>
      <w:r>
        <w:rPr>
          <w:color w:val="1F1F1F"/>
        </w:rPr>
        <w:t>vendors many—many buyers, via buyer_vendor_links (the network/reuse junction).</w:t>
      </w:r>
    </w:p>
    <w:p>
      <w:pPr>
        <w:pStyle w:val="ListBullet"/>
        <w:spacing w:after="80"/>
        <w:ind w:left="403"/>
      </w:pPr>
      <w:r>
        <w:rPr>
          <w:color w:val="1F1F1F"/>
        </w:rPr>
        <w:t>vendors 1—many alerts, scoped to a specific buyer via alerts.buyer_id.</w:t>
      </w:r>
    </w:p>
    <w:p>
      <w:pPr>
        <w:pStyle w:val="ListBullet"/>
        <w:spacing w:after="80"/>
        <w:ind w:left="403"/>
      </w:pPr>
      <w:r>
        <w:rPr>
          <w:color w:val="1F1F1F"/>
        </w:rPr>
        <w:t>vendors 1—many consent_records (a full consent history, including withdrawals).</w:t>
      </w:r>
    </w:p>
    <w:p>
      <w:pPr>
        <w:pStyle w:val="ListBullet"/>
        <w:spacing w:after="80"/>
        <w:ind w:left="403"/>
      </w:pPr>
      <w:r>
        <w:rPr>
          <w:color w:val="1F1F1F"/>
        </w:rPr>
        <w:t>buyers 1—many erp_connections (a buyer can run more than one ERP connection over time).</w:t>
      </w:r>
    </w:p>
    <w:p>
      <w:pPr>
        <w:pStyle w:val="ListBullet"/>
        <w:spacing w:after="80"/>
        <w:ind w:left="403"/>
      </w:pPr>
      <w:r>
        <w:rPr>
          <w:color w:val="1F1F1F"/>
        </w:rPr>
        <w:t>buyers 1—many users with role IN ('COMPLIANCE','BUYER_ADMIN') — every buyer-side login belongs to exactly one buyer tenant.</w:t>
      </w:r>
    </w:p>
    <w:p>
      <w:pPr>
        <w:pStyle w:val="ListBullet"/>
        <w:spacing w:after="80"/>
        <w:ind w:left="403"/>
      </w:pPr>
      <w:r>
        <w:rPr>
          <w:color w:val="1F1F1F"/>
        </w:rPr>
        <w:t>vendors 1—1 users with role = 'VENDOR' — one vendor company has exactly one login-capable vendor account.</w:t>
      </w:r>
    </w:p>
    <w:p>
      <w:pPr>
        <w:pStyle w:val="ListBullet"/>
        <w:spacing w:after="80"/>
        <w:ind w:left="403"/>
      </w:pPr>
      <w:r>
        <w:rPr>
          <w:color w:val="1F1F1F"/>
        </w:rPr>
        <w:t>users (role='COMPLIANCE') many—1 users (role='BUYER_ADMIN') via invited_by_user_id — every Compliance account traces back to the Buyer-Admin who invited them, and that admin is always in the same buyer tenant.</w:t>
      </w:r>
    </w:p>
    <w:p>
      <w:pPr>
        <w:pStyle w:val="ListBullet"/>
        <w:spacing w:after="80"/>
        <w:ind w:left="403"/>
      </w:pPr>
      <w:r>
        <w:rPr>
          <w:color w:val="1F1F1F"/>
        </w:rPr>
        <w:t>materiality_rules is a lookup table, not FK-linked — the monitoring engine queries it by field_name + internal_criticality at evaluation time.</w:t>
      </w:r>
    </w:p>
    <w:p>
      <w:pPr>
        <w:pStyle w:val="Heading3"/>
      </w:pPr>
      <w:r>
        <w:t>Enforcing Audit Log Immutability</w:t>
      </w:r>
    </w:p>
    <w:p>
      <w:r>
        <w:rPr>
          <w:b w:val="0"/>
          <w:i w:val="0"/>
          <w:color w:val="1F1F1F"/>
        </w:rPr>
        <w:t>For regulatory defensibility (DPDP &amp; Section 43B(h)), audit_log_entries must be append-only at the database layer — not just by application convention:</w:t>
      </w:r>
    </w:p>
    <w:tbl>
      <w:tblPr>
        <w:tblW w:type="auto" w:w="0"/>
        <w:jc w:val="left"/>
        <w:tblLook w:firstColumn="1" w:firstRow="1" w:lastColumn="0" w:lastRow="0" w:noHBand="0" w:noVBand="1" w:val="04A0"/>
        <w:tblBorders>
          <w:top w:val="single" w:sz="6" w:space="0" w:color="B0B0B0"/>
          <w:left w:val="single" w:sz="6" w:space="0" w:color="B0B0B0"/>
          <w:bottom w:val="single" w:sz="6" w:space="0" w:color="B0B0B0"/>
          <w:right w:val="single" w:sz="6" w:space="0" w:color="B0B0B0"/>
        </w:tblBorders>
      </w:tblPr>
      <w:tblGrid>
        <w:gridCol w:w="9360"/>
      </w:tblGrid>
      <w:tr>
        <w:tc>
          <w:tcPr>
            <w:tcW w:type="dxa" w:w="9360"/>
            <w:shd w:val="clear" w:color="auto" w:fill="F5F5F5"/>
          </w:tcPr>
          <w:p>
            <w:pPr>
              <w:spacing w:after="0"/>
            </w:pPr>
            <w:r>
              <w:rPr>
                <w:rFonts w:ascii="Consolas" w:hAnsi="Consolas"/>
                <w:color w:val="1F1F1F"/>
                <w:sz w:val="17"/>
              </w:rPr>
              <w:t>CREATE OR REPLACE FUNCTION block_audit_log_mutations()</w:t>
            </w:r>
          </w:p>
          <w:p>
            <w:pPr>
              <w:spacing w:after="0"/>
            </w:pPr>
            <w:r>
              <w:rPr>
                <w:rFonts w:ascii="Consolas" w:hAnsi="Consolas"/>
                <w:color w:val="1F1F1F"/>
                <w:sz w:val="17"/>
              </w:rPr>
              <w:t>RETURNS TRIGGER AS $$</w:t>
            </w:r>
          </w:p>
          <w:p>
            <w:pPr>
              <w:spacing w:after="0"/>
            </w:pPr>
            <w:r>
              <w:rPr>
                <w:rFonts w:ascii="Consolas" w:hAnsi="Consolas"/>
                <w:color w:val="1F1F1F"/>
                <w:sz w:val="17"/>
              </w:rPr>
              <w:t>BEGIN</w:t>
            </w:r>
          </w:p>
          <w:p>
            <w:pPr>
              <w:spacing w:after="0"/>
            </w:pPr>
            <w:r>
              <w:rPr>
                <w:rFonts w:ascii="Consolas" w:hAnsi="Consolas"/>
                <w:color w:val="1F1F1F"/>
                <w:sz w:val="17"/>
              </w:rPr>
              <w:t xml:space="preserve">    RAISE EXCEPTION 'Updates or deletions on the audit log are forbidden for compliance integrity.';</w:t>
            </w:r>
          </w:p>
          <w:p>
            <w:pPr>
              <w:spacing w:after="0"/>
            </w:pPr>
            <w:r>
              <w:rPr>
                <w:rFonts w:ascii="Consolas" w:hAnsi="Consolas"/>
                <w:color w:val="1F1F1F"/>
                <w:sz w:val="17"/>
              </w:rPr>
              <w:t>END;</w:t>
            </w:r>
          </w:p>
          <w:p>
            <w:pPr>
              <w:spacing w:after="0"/>
            </w:pPr>
            <w:r>
              <w:rPr>
                <w:rFonts w:ascii="Consolas" w:hAnsi="Consolas"/>
                <w:color w:val="1F1F1F"/>
                <w:sz w:val="17"/>
              </w:rPr>
              <w:t>$$ LANGUAGE plpgsql;</w:t>
            </w:r>
          </w:p>
          <w:p>
            <w:pPr>
              <w:spacing w:after="0"/>
            </w:pPr>
            <w:r>
              <w:rPr>
                <w:rFonts w:ascii="Consolas" w:hAnsi="Consolas"/>
                <w:color w:val="1F1F1F"/>
                <w:sz w:val="17"/>
              </w:rPr>
              <w:t xml:space="preserve"> </w:t>
            </w:r>
          </w:p>
          <w:p>
            <w:pPr>
              <w:spacing w:after="0"/>
            </w:pPr>
            <w:r>
              <w:rPr>
                <w:rFonts w:ascii="Consolas" w:hAnsi="Consolas"/>
                <w:color w:val="1F1F1F"/>
                <w:sz w:val="17"/>
              </w:rPr>
              <w:t>CREATE TRIGGER enforce_immutable_audit_log</w:t>
            </w:r>
          </w:p>
          <w:p>
            <w:pPr>
              <w:spacing w:after="0"/>
            </w:pPr>
            <w:r>
              <w:rPr>
                <w:rFonts w:ascii="Consolas" w:hAnsi="Consolas"/>
                <w:color w:val="1F1F1F"/>
                <w:sz w:val="17"/>
              </w:rPr>
              <w:t>BEFORE UPDATE OR DELETE ON audit_log_entries</w:t>
            </w:r>
          </w:p>
          <w:p>
            <w:pPr>
              <w:spacing w:after="0"/>
            </w:pPr>
            <w:r>
              <w:rPr>
                <w:rFonts w:ascii="Consolas" w:hAnsi="Consolas"/>
                <w:color w:val="1F1F1F"/>
                <w:sz w:val="17"/>
              </w:rPr>
              <w:t>FOR EACH ROW EXECUTE FUNCTION block_audit_log_mutations();</w:t>
            </w:r>
          </w:p>
        </w:tc>
      </w:tr>
    </w:tbl>
    <w:p>
      <w:pPr>
        <w:spacing w:after="40"/>
      </w:pPr>
    </w:p>
    <w:p>
      <w:pPr>
        <w:pStyle w:val="Heading3"/>
      </w:pPr>
      <w:r>
        <w:t>Enforcing Role Immutability (No Role Switching, Ever)</w:t>
      </w:r>
    </w:p>
    <w:p>
      <w:r>
        <w:rPr>
          <w:b w:val="0"/>
          <w:i w:val="0"/>
          <w:color w:val="1F1F1F"/>
        </w:rPr>
        <w:t>The product requirement is absolute: once an account is created with a role, nothing in the product — not the user, not an admin, not a support workflow — can change that role on the existing account. The only way to get different access is a brand-new account. This is enforced the same way audit-log immutability is: at the database layer, not just in application code.</w:t>
      </w:r>
    </w:p>
    <w:tbl>
      <w:tblPr>
        <w:tblW w:type="auto" w:w="0"/>
        <w:jc w:val="left"/>
        <w:tblLook w:firstColumn="1" w:firstRow="1" w:lastColumn="0" w:lastRow="0" w:noHBand="0" w:noVBand="1" w:val="04A0"/>
        <w:tblBorders>
          <w:top w:val="single" w:sz="6" w:space="0" w:color="B0B0B0"/>
          <w:left w:val="single" w:sz="6" w:space="0" w:color="B0B0B0"/>
          <w:bottom w:val="single" w:sz="6" w:space="0" w:color="B0B0B0"/>
          <w:right w:val="single" w:sz="6" w:space="0" w:color="B0B0B0"/>
        </w:tblBorders>
      </w:tblPr>
      <w:tblGrid>
        <w:gridCol w:w="9360"/>
      </w:tblGrid>
      <w:tr>
        <w:tc>
          <w:tcPr>
            <w:tcW w:type="dxa" w:w="9360"/>
            <w:shd w:val="clear" w:color="auto" w:fill="F5F5F5"/>
          </w:tcPr>
          <w:p>
            <w:pPr>
              <w:spacing w:after="0"/>
            </w:pPr>
            <w:r>
              <w:rPr>
                <w:rFonts w:ascii="Consolas" w:hAnsi="Consolas"/>
                <w:color w:val="1F1F1F"/>
                <w:sz w:val="17"/>
              </w:rPr>
              <w:t>CREATE OR REPLACE FUNCTION block_role_mutation()</w:t>
            </w:r>
          </w:p>
          <w:p>
            <w:pPr>
              <w:spacing w:after="0"/>
            </w:pPr>
            <w:r>
              <w:rPr>
                <w:rFonts w:ascii="Consolas" w:hAnsi="Consolas"/>
                <w:color w:val="1F1F1F"/>
                <w:sz w:val="17"/>
              </w:rPr>
              <w:t>RETURNS TRIGGER AS $$</w:t>
            </w:r>
          </w:p>
          <w:p>
            <w:pPr>
              <w:spacing w:after="0"/>
            </w:pPr>
            <w:r>
              <w:rPr>
                <w:rFonts w:ascii="Consolas" w:hAnsi="Consolas"/>
                <w:color w:val="1F1F1F"/>
                <w:sz w:val="17"/>
              </w:rPr>
              <w:t>BEGIN</w:t>
            </w:r>
          </w:p>
          <w:p>
            <w:pPr>
              <w:spacing w:after="0"/>
            </w:pPr>
            <w:r>
              <w:rPr>
                <w:rFonts w:ascii="Consolas" w:hAnsi="Consolas"/>
                <w:color w:val="1F1F1F"/>
                <w:sz w:val="17"/>
              </w:rPr>
              <w:t xml:space="preserve">    IF NEW.role IS DISTINCT FROM OLD.role THEN</w:t>
            </w:r>
          </w:p>
          <w:p>
            <w:pPr>
              <w:spacing w:after="0"/>
            </w:pPr>
            <w:r>
              <w:rPr>
                <w:rFonts w:ascii="Consolas" w:hAnsi="Consolas"/>
                <w:color w:val="1F1F1F"/>
                <w:sz w:val="17"/>
              </w:rPr>
              <w:t xml:space="preserve">        RAISE EXCEPTION 'role is immutable — create a new account instead of changing an existing one.';</w:t>
            </w:r>
          </w:p>
          <w:p>
            <w:pPr>
              <w:spacing w:after="0"/>
            </w:pPr>
            <w:r>
              <w:rPr>
                <w:rFonts w:ascii="Consolas" w:hAnsi="Consolas"/>
                <w:color w:val="1F1F1F"/>
                <w:sz w:val="17"/>
              </w:rPr>
              <w:t xml:space="preserve">    END IF;</w:t>
            </w:r>
          </w:p>
          <w:p>
            <w:pPr>
              <w:spacing w:after="0"/>
            </w:pPr>
            <w:r>
              <w:rPr>
                <w:rFonts w:ascii="Consolas" w:hAnsi="Consolas"/>
                <w:color w:val="1F1F1F"/>
                <w:sz w:val="17"/>
              </w:rPr>
              <w:t xml:space="preserve">    RETURN NEW;</w:t>
            </w:r>
          </w:p>
          <w:p>
            <w:pPr>
              <w:spacing w:after="0"/>
            </w:pPr>
            <w:r>
              <w:rPr>
                <w:rFonts w:ascii="Consolas" w:hAnsi="Consolas"/>
                <w:color w:val="1F1F1F"/>
                <w:sz w:val="17"/>
              </w:rPr>
              <w:t>END;</w:t>
            </w:r>
          </w:p>
          <w:p>
            <w:pPr>
              <w:spacing w:after="0"/>
            </w:pPr>
            <w:r>
              <w:rPr>
                <w:rFonts w:ascii="Consolas" w:hAnsi="Consolas"/>
                <w:color w:val="1F1F1F"/>
                <w:sz w:val="17"/>
              </w:rPr>
              <w:t>$$ LANGUAGE plpgsql;</w:t>
            </w:r>
          </w:p>
          <w:p>
            <w:pPr>
              <w:spacing w:after="0"/>
            </w:pPr>
            <w:r>
              <w:rPr>
                <w:rFonts w:ascii="Consolas" w:hAnsi="Consolas"/>
                <w:color w:val="1F1F1F"/>
                <w:sz w:val="17"/>
              </w:rPr>
              <w:t xml:space="preserve"> </w:t>
            </w:r>
          </w:p>
          <w:p>
            <w:pPr>
              <w:spacing w:after="0"/>
            </w:pPr>
            <w:r>
              <w:rPr>
                <w:rFonts w:ascii="Consolas" w:hAnsi="Consolas"/>
                <w:color w:val="1F1F1F"/>
                <w:sz w:val="17"/>
              </w:rPr>
              <w:t>CREATE TRIGGER enforce_immutable_role</w:t>
            </w:r>
          </w:p>
          <w:p>
            <w:pPr>
              <w:spacing w:after="0"/>
            </w:pPr>
            <w:r>
              <w:rPr>
                <w:rFonts w:ascii="Consolas" w:hAnsi="Consolas"/>
                <w:color w:val="1F1F1F"/>
                <w:sz w:val="17"/>
              </w:rPr>
              <w:t>BEFORE UPDATE ON users</w:t>
            </w:r>
          </w:p>
          <w:p>
            <w:pPr>
              <w:spacing w:after="0"/>
            </w:pPr>
            <w:r>
              <w:rPr>
                <w:rFonts w:ascii="Consolas" w:hAnsi="Consolas"/>
                <w:color w:val="1F1F1F"/>
                <w:sz w:val="17"/>
              </w:rPr>
              <w:t>FOR EACH ROW EXECUTE FUNCTION block_role_mutation();</w:t>
            </w:r>
          </w:p>
        </w:tc>
      </w:tr>
    </w:tbl>
    <w:p>
      <w:pPr>
        <w:spacing w:after="40"/>
      </w:pPr>
    </w:p>
    <w:p>
      <w:pPr>
        <w:pStyle w:val="Heading1"/>
      </w:pPr>
      <w:r>
        <w:t>3. API Contracts</w:t>
      </w:r>
    </w:p>
    <w:p>
      <w:pPr>
        <w:pStyle w:val="Heading3"/>
      </w:pPr>
      <w:r>
        <w:t>A. Outbound Trust Profile — GET /v1/vendors/{vendor_id}/trust-profile</w:t>
      </w:r>
    </w:p>
    <w:p>
      <w:r>
        <w:rPr>
          <w:b w:val="0"/>
          <w:i w:val="0"/>
          <w:color w:val="1F1F1F"/>
        </w:rPr>
        <w:t>Retrieves a vendor's consolidated trust profile for a buyer's ERP. The query layer itself filters by the buyer's tenant ID — Buyer A cannot see Buyer B's overlay data, because the filtering happens in the query, not just the response.</w:t>
      </w:r>
    </w:p>
    <w:tbl>
      <w:tblPr>
        <w:tblW w:type="auto" w:w="0"/>
        <w:jc w:val="left"/>
        <w:tblLook w:firstColumn="1" w:firstRow="1" w:lastColumn="0" w:lastRow="0" w:noHBand="0" w:noVBand="1" w:val="04A0"/>
        <w:tblBorders>
          <w:top w:val="single" w:sz="6" w:space="0" w:color="B0B0B0"/>
          <w:left w:val="single" w:sz="6" w:space="0" w:color="B0B0B0"/>
          <w:bottom w:val="single" w:sz="6" w:space="0" w:color="B0B0B0"/>
          <w:right w:val="single" w:sz="6" w:space="0" w:color="B0B0B0"/>
        </w:tblBorders>
      </w:tblPr>
      <w:tblGrid>
        <w:gridCol w:w="9360"/>
      </w:tblGrid>
      <w:tr>
        <w:tc>
          <w:tcPr>
            <w:tcW w:type="dxa" w:w="9360"/>
            <w:shd w:val="clear" w:color="auto" w:fill="F5F5F5"/>
          </w:tcPr>
          <w:p>
            <w:pPr>
              <w:spacing w:after="0"/>
            </w:pPr>
            <w:r>
              <w:rPr>
                <w:rFonts w:ascii="Consolas" w:hAnsi="Consolas"/>
                <w:color w:val="1F1F1F"/>
                <w:sz w:val="17"/>
              </w:rPr>
              <w:t>Request Headers:</w:t>
            </w:r>
          </w:p>
          <w:p>
            <w:pPr>
              <w:spacing w:after="0"/>
            </w:pPr>
            <w:r>
              <w:rPr>
                <w:rFonts w:ascii="Consolas" w:hAnsi="Consolas"/>
                <w:color w:val="1F1F1F"/>
                <w:sz w:val="17"/>
              </w:rPr>
              <w:t xml:space="preserve">  Authorization: Bearer &lt;JWT_TOKEN&gt;</w:t>
            </w:r>
          </w:p>
          <w:p>
            <w:pPr>
              <w:spacing w:after="0"/>
            </w:pPr>
            <w:r>
              <w:rPr>
                <w:rFonts w:ascii="Consolas" w:hAnsi="Consolas"/>
                <w:color w:val="1F1F1F"/>
                <w:sz w:val="17"/>
              </w:rPr>
              <w:t xml:space="preserve">  X-Buyer-ID: f433f8ec-0412-d00d-6c22-0a441470eb55</w:t>
            </w:r>
          </w:p>
          <w:p>
            <w:pPr>
              <w:spacing w:after="0"/>
            </w:pPr>
            <w:r>
              <w:rPr>
                <w:rFonts w:ascii="Consolas" w:hAnsi="Consolas"/>
                <w:color w:val="1F1F1F"/>
                <w:sz w:val="17"/>
              </w:rPr>
              <w:t xml:space="preserve">  Accept: application/json</w:t>
            </w:r>
          </w:p>
          <w:p>
            <w:pPr>
              <w:spacing w:after="0"/>
            </w:pPr>
            <w:r>
              <w:rPr>
                <w:rFonts w:ascii="Consolas" w:hAnsi="Consolas"/>
                <w:color w:val="1F1F1F"/>
                <w:sz w:val="17"/>
              </w:rPr>
              <w:t xml:space="preserve"> </w:t>
            </w:r>
          </w:p>
          <w:p>
            <w:pPr>
              <w:spacing w:after="0"/>
            </w:pPr>
            <w:r>
              <w:rPr>
                <w:rFonts w:ascii="Consolas" w:hAnsi="Consolas"/>
                <w:color w:val="1F1F1F"/>
                <w:sz w:val="17"/>
              </w:rPr>
              <w:t>Response 200 OK:</w:t>
            </w:r>
          </w:p>
          <w:p>
            <w:pPr>
              <w:spacing w:after="0"/>
            </w:pPr>
            <w:r>
              <w:rPr>
                <w:rFonts w:ascii="Consolas" w:hAnsi="Consolas"/>
                <w:color w:val="1F1F1F"/>
                <w:sz w:val="17"/>
              </w:rPr>
              <w:t>{</w:t>
            </w:r>
          </w:p>
          <w:p>
            <w:pPr>
              <w:spacing w:after="0"/>
            </w:pPr>
            <w:r>
              <w:rPr>
                <w:rFonts w:ascii="Consolas" w:hAnsi="Consolas"/>
                <w:color w:val="1F1F1F"/>
                <w:sz w:val="17"/>
              </w:rPr>
              <w:t xml:space="preserve">  "vendor_id": "83c1d0e0-deba-d939-21a0-3033ae6d49d1",</w:t>
            </w:r>
          </w:p>
          <w:p>
            <w:pPr>
              <w:spacing w:after="0"/>
            </w:pPr>
            <w:r>
              <w:rPr>
                <w:rFonts w:ascii="Consolas" w:hAnsi="Consolas"/>
                <w:color w:val="1F1F1F"/>
                <w:sz w:val="17"/>
              </w:rPr>
              <w:t xml:space="preserve">  "legal_name": "Ravi Sharma Logistics Ltd.",</w:t>
            </w:r>
          </w:p>
          <w:p>
            <w:pPr>
              <w:spacing w:after="0"/>
            </w:pPr>
            <w:r>
              <w:rPr>
                <w:rFonts w:ascii="Consolas" w:hAnsi="Consolas"/>
                <w:color w:val="1F1F1F"/>
                <w:sz w:val="17"/>
              </w:rPr>
              <w:t xml:space="preserve">  "msme_classification": "MICRO",</w:t>
            </w:r>
          </w:p>
          <w:p>
            <w:pPr>
              <w:spacing w:after="0"/>
            </w:pPr>
            <w:r>
              <w:rPr>
                <w:rFonts w:ascii="Consolas" w:hAnsi="Consolas"/>
                <w:color w:val="1F1F1F"/>
                <w:sz w:val="17"/>
              </w:rPr>
              <w:t xml:space="preserve">  "gst_status": "ACTIVE",</w:t>
            </w:r>
          </w:p>
          <w:p>
            <w:pPr>
              <w:spacing w:after="0"/>
            </w:pPr>
            <w:r>
              <w:rPr>
                <w:rFonts w:ascii="Consolas" w:hAnsi="Consolas"/>
                <w:color w:val="1F1F1F"/>
                <w:sz w:val="17"/>
              </w:rPr>
              <w:t xml:space="preserve">  "gst_number": "27AAAAA1111A1Z1",</w:t>
            </w:r>
          </w:p>
          <w:p>
            <w:pPr>
              <w:spacing w:after="0"/>
            </w:pPr>
            <w:r>
              <w:rPr>
                <w:rFonts w:ascii="Consolas" w:hAnsi="Consolas"/>
                <w:color w:val="1F1F1F"/>
                <w:sz w:val="17"/>
              </w:rPr>
              <w:t xml:space="preserve">  "verification_records": [</w:t>
            </w:r>
          </w:p>
          <w:p>
            <w:pPr>
              <w:spacing w:after="0"/>
            </w:pPr>
            <w:r>
              <w:rPr>
                <w:rFonts w:ascii="Consolas" w:hAnsi="Consolas"/>
                <w:color w:val="1F1F1F"/>
                <w:sz w:val="17"/>
              </w:rPr>
              <w:t xml:space="preserve">    {"field": "gst_number", "source": "GSTN", "verified_at": "2026-08-07T08:52:32Z", "status": "VALID"}</w:t>
            </w:r>
          </w:p>
          <w:p>
            <w:pPr>
              <w:spacing w:after="0"/>
            </w:pPr>
            <w:r>
              <w:rPr>
                <w:rFonts w:ascii="Consolas" w:hAnsi="Consolas"/>
                <w:color w:val="1F1F1F"/>
                <w:sz w:val="17"/>
              </w:rPr>
              <w:t xml:space="preserve">  ],</w:t>
            </w:r>
          </w:p>
          <w:p>
            <w:pPr>
              <w:spacing w:after="0"/>
            </w:pPr>
            <w:r>
              <w:rPr>
                <w:rFonts w:ascii="Consolas" w:hAnsi="Consolas"/>
                <w:color w:val="1F1F1F"/>
                <w:sz w:val="17"/>
              </w:rPr>
              <w:t xml:space="preserve">  "tenant_overlay": {</w:t>
            </w:r>
          </w:p>
          <w:p>
            <w:pPr>
              <w:spacing w:after="0"/>
            </w:pPr>
            <w:r>
              <w:rPr>
                <w:rFonts w:ascii="Consolas" w:hAnsi="Consolas"/>
                <w:color w:val="1F1F1F"/>
                <w:sz w:val="17"/>
              </w:rPr>
              <w:t xml:space="preserve">    "buyer_id": "f433f8ec-0412-d00d-6c22-0a441470eb55",</w:t>
            </w:r>
          </w:p>
          <w:p>
            <w:pPr>
              <w:spacing w:after="0"/>
            </w:pPr>
            <w:r>
              <w:rPr>
                <w:rFonts w:ascii="Consolas" w:hAnsi="Consolas"/>
                <w:color w:val="1F1F1F"/>
                <w:sz w:val="17"/>
              </w:rPr>
              <w:t xml:space="preserve">    "internal_criticality": "CRITICAL",</w:t>
            </w:r>
          </w:p>
          <w:p>
            <w:pPr>
              <w:spacing w:after="0"/>
            </w:pPr>
            <w:r>
              <w:rPr>
                <w:rFonts w:ascii="Consolas" w:hAnsi="Consolas"/>
                <w:color w:val="1F1F1F"/>
                <w:sz w:val="17"/>
              </w:rPr>
              <w:t xml:space="preserve">    "buyer_notes": "Key micro-logistics provider for western region operations."</w:t>
            </w:r>
          </w:p>
          <w:p>
            <w:pPr>
              <w:spacing w:after="0"/>
            </w:pPr>
            <w:r>
              <w:rPr>
                <w:rFonts w:ascii="Consolas" w:hAnsi="Consolas"/>
                <w:color w:val="1F1F1F"/>
                <w:sz w:val="17"/>
              </w:rPr>
              <w:t xml:space="preserve">  }</w:t>
            </w:r>
          </w:p>
          <w:p>
            <w:pPr>
              <w:spacing w:after="0"/>
            </w:pPr>
            <w:r>
              <w:rPr>
                <w:rFonts w:ascii="Consolas" w:hAnsi="Consolas"/>
                <w:color w:val="1F1F1F"/>
                <w:sz w:val="17"/>
              </w:rPr>
              <w:t>}</w:t>
            </w:r>
          </w:p>
        </w:tc>
      </w:tr>
    </w:tbl>
    <w:p>
      <w:pPr>
        <w:spacing w:after="40"/>
      </w:pPr>
    </w:p>
    <w:p>
      <w:pPr>
        <w:pStyle w:val="Heading3"/>
      </w:pPr>
      <w:r>
        <w:t>B. Vendor Self-Registration — POST /v1/vendors/register</w:t>
      </w:r>
    </w:p>
    <w:p>
      <w:r>
        <w:rPr>
          <w:b w:val="0"/>
          <w:i w:val="0"/>
          <w:color w:val="1F1F1F"/>
        </w:rPr>
        <w:t>Consent capture is mandated inside the payload itself, not a separate step — a request without consent_given: true is rejected before verification even runs.</w:t>
      </w:r>
    </w:p>
    <w:tbl>
      <w:tblPr>
        <w:tblW w:type="auto" w:w="0"/>
        <w:jc w:val="left"/>
        <w:tblLook w:firstColumn="1" w:firstRow="1" w:lastColumn="0" w:lastRow="0" w:noHBand="0" w:noVBand="1" w:val="04A0"/>
        <w:tblBorders>
          <w:top w:val="single" w:sz="6" w:space="0" w:color="B0B0B0"/>
          <w:left w:val="single" w:sz="6" w:space="0" w:color="B0B0B0"/>
          <w:bottom w:val="single" w:sz="6" w:space="0" w:color="B0B0B0"/>
          <w:right w:val="single" w:sz="6" w:space="0" w:color="B0B0B0"/>
        </w:tblBorders>
      </w:tblPr>
      <w:tblGrid>
        <w:gridCol w:w="9360"/>
      </w:tblGrid>
      <w:tr>
        <w:tc>
          <w:tcPr>
            <w:tcW w:type="dxa" w:w="9360"/>
            <w:shd w:val="clear" w:color="auto" w:fill="F5F5F5"/>
          </w:tcPr>
          <w:p>
            <w:pPr>
              <w:spacing w:after="0"/>
            </w:pPr>
            <w:r>
              <w:rPr>
                <w:rFonts w:ascii="Consolas" w:hAnsi="Consolas"/>
                <w:color w:val="1F1F1F"/>
                <w:sz w:val="17"/>
              </w:rPr>
              <w:t>Request:</w:t>
            </w:r>
          </w:p>
          <w:p>
            <w:pPr>
              <w:spacing w:after="0"/>
            </w:pPr>
            <w:r>
              <w:rPr>
                <w:rFonts w:ascii="Consolas" w:hAnsi="Consolas"/>
                <w:color w:val="1F1F1F"/>
                <w:sz w:val="17"/>
              </w:rPr>
              <w:t>{</w:t>
            </w:r>
          </w:p>
          <w:p>
            <w:pPr>
              <w:spacing w:after="0"/>
            </w:pPr>
            <w:r>
              <w:rPr>
                <w:rFonts w:ascii="Consolas" w:hAnsi="Consolas"/>
                <w:color w:val="1F1F1F"/>
                <w:sz w:val="17"/>
              </w:rPr>
              <w:t xml:space="preserve">  "legal_name": "Ravi Sharma Logistics Ltd.",</w:t>
            </w:r>
          </w:p>
          <w:p>
            <w:pPr>
              <w:spacing w:after="0"/>
            </w:pPr>
            <w:r>
              <w:rPr>
                <w:rFonts w:ascii="Consolas" w:hAnsi="Consolas"/>
                <w:color w:val="1F1F1F"/>
                <w:sz w:val="17"/>
              </w:rPr>
              <w:t xml:space="preserve">  "gst_number": "27AAAAA1111A1Z1",</w:t>
            </w:r>
          </w:p>
          <w:p>
            <w:pPr>
              <w:spacing w:after="0"/>
            </w:pPr>
            <w:r>
              <w:rPr>
                <w:rFonts w:ascii="Consolas" w:hAnsi="Consolas"/>
                <w:color w:val="1F1F1F"/>
                <w:sz w:val="17"/>
              </w:rPr>
              <w:t xml:space="preserve">  "pan_number": "AAAAA1111A",</w:t>
            </w:r>
          </w:p>
          <w:p>
            <w:pPr>
              <w:spacing w:after="0"/>
            </w:pPr>
            <w:r>
              <w:rPr>
                <w:rFonts w:ascii="Consolas" w:hAnsi="Consolas"/>
                <w:color w:val="1F1F1F"/>
                <w:sz w:val="17"/>
              </w:rPr>
              <w:t xml:space="preserve">  "bank_account_num": "1234567890", "bank_ifsc": "HDFC0000001",</w:t>
            </w:r>
          </w:p>
          <w:p>
            <w:pPr>
              <w:spacing w:after="0"/>
            </w:pPr>
            <w:r>
              <w:rPr>
                <w:rFonts w:ascii="Consolas" w:hAnsi="Consolas"/>
                <w:color w:val="1F1F1F"/>
                <w:sz w:val="17"/>
              </w:rPr>
              <w:t xml:space="preserve">  "consent": {</w:t>
            </w:r>
          </w:p>
          <w:p>
            <w:pPr>
              <w:spacing w:after="0"/>
            </w:pPr>
            <w:r>
              <w:rPr>
                <w:rFonts w:ascii="Consolas" w:hAnsi="Consolas"/>
                <w:color w:val="1F1F1F"/>
                <w:sz w:val="17"/>
              </w:rPr>
              <w:t xml:space="preserve">    "purpose": "Verification of statutory GSTIN, PAN, and Udyam MSME status under DPDP Act 2023.",</w:t>
            </w:r>
          </w:p>
          <w:p>
            <w:pPr>
              <w:spacing w:after="0"/>
            </w:pPr>
            <w:r>
              <w:rPr>
                <w:rFonts w:ascii="Consolas" w:hAnsi="Consolas"/>
                <w:color w:val="1F1F1F"/>
                <w:sz w:val="17"/>
              </w:rPr>
              <w:t xml:space="preserve">    "consent_given": true,</w:t>
            </w:r>
          </w:p>
          <w:p>
            <w:pPr>
              <w:spacing w:after="0"/>
            </w:pPr>
            <w:r>
              <w:rPr>
                <w:rFonts w:ascii="Consolas" w:hAnsi="Consolas"/>
                <w:color w:val="1F1F1F"/>
                <w:sz w:val="17"/>
              </w:rPr>
              <w:t xml:space="preserve">    "consent_manager_ref": "CM-DPDP-980123"</w:t>
            </w:r>
          </w:p>
          <w:p>
            <w:pPr>
              <w:spacing w:after="0"/>
            </w:pPr>
            <w:r>
              <w:rPr>
                <w:rFonts w:ascii="Consolas" w:hAnsi="Consolas"/>
                <w:color w:val="1F1F1F"/>
                <w:sz w:val="17"/>
              </w:rPr>
              <w:t xml:space="preserve">  }</w:t>
            </w:r>
          </w:p>
          <w:p>
            <w:pPr>
              <w:spacing w:after="0"/>
            </w:pPr>
            <w:r>
              <w:rPr>
                <w:rFonts w:ascii="Consolas" w:hAnsi="Consolas"/>
                <w:color w:val="1F1F1F"/>
                <w:sz w:val="17"/>
              </w:rPr>
              <w:t>}</w:t>
            </w:r>
          </w:p>
          <w:p>
            <w:pPr>
              <w:spacing w:after="0"/>
            </w:pPr>
            <w:r>
              <w:rPr>
                <w:rFonts w:ascii="Consolas" w:hAnsi="Consolas"/>
                <w:color w:val="1F1F1F"/>
                <w:sz w:val="17"/>
              </w:rPr>
              <w:t xml:space="preserve"> </w:t>
            </w:r>
          </w:p>
          <w:p>
            <w:pPr>
              <w:spacing w:after="0"/>
            </w:pPr>
            <w:r>
              <w:rPr>
                <w:rFonts w:ascii="Consolas" w:hAnsi="Consolas"/>
                <w:color w:val="1F1F1F"/>
                <w:sz w:val="17"/>
              </w:rPr>
              <w:t>Response 201 Created:</w:t>
            </w:r>
          </w:p>
          <w:p>
            <w:pPr>
              <w:spacing w:after="0"/>
            </w:pPr>
            <w:r>
              <w:rPr>
                <w:rFonts w:ascii="Consolas" w:hAnsi="Consolas"/>
                <w:color w:val="1F1F1F"/>
                <w:sz w:val="17"/>
              </w:rPr>
              <w:t>{</w:t>
            </w:r>
          </w:p>
          <w:p>
            <w:pPr>
              <w:spacing w:after="0"/>
            </w:pPr>
            <w:r>
              <w:rPr>
                <w:rFonts w:ascii="Consolas" w:hAnsi="Consolas"/>
                <w:color w:val="1F1F1F"/>
                <w:sz w:val="17"/>
              </w:rPr>
              <w:t xml:space="preserve">  "status": "PENDING_VERIFICATION",</w:t>
            </w:r>
          </w:p>
          <w:p>
            <w:pPr>
              <w:spacing w:after="0"/>
            </w:pPr>
            <w:r>
              <w:rPr>
                <w:rFonts w:ascii="Consolas" w:hAnsi="Consolas"/>
                <w:color w:val="1F1F1F"/>
                <w:sz w:val="17"/>
              </w:rPr>
              <w:t xml:space="preserve">  "vendor_id": "83c1d0e0-deba-d939-21a0-3033ae6d49d1",</w:t>
            </w:r>
          </w:p>
          <w:p>
            <w:pPr>
              <w:spacing w:after="0"/>
            </w:pPr>
            <w:r>
              <w:rPr>
                <w:rFonts w:ascii="Consolas" w:hAnsi="Consolas"/>
                <w:color w:val="1F1F1F"/>
                <w:sz w:val="17"/>
              </w:rPr>
              <w:t xml:space="preserve">  "verification_job_id": "job_9959a9c1_ab10_4340_ba57"</w:t>
            </w:r>
          </w:p>
          <w:p>
            <w:pPr>
              <w:spacing w:after="0"/>
            </w:pPr>
            <w:r>
              <w:rPr>
                <w:rFonts w:ascii="Consolas" w:hAnsi="Consolas"/>
                <w:color w:val="1F1F1F"/>
                <w:sz w:val="17"/>
              </w:rPr>
              <w:t>}</w:t>
            </w:r>
          </w:p>
        </w:tc>
      </w:tr>
    </w:tbl>
    <w:p>
      <w:pPr>
        <w:spacing w:after="40"/>
      </w:pPr>
    </w:p>
    <w:p>
      <w:pPr>
        <w:pStyle w:val="Heading3"/>
      </w:pPr>
      <w:r>
        <w:t>C. Role-Based Login — POST /v1/auth/login</w:t>
      </w:r>
    </w:p>
    <w:p>
      <w:r>
        <w:rPr>
          <w:b w:val="0"/>
          <w:i w:val="0"/>
          <w:color w:val="1F1F1F"/>
        </w:rPr>
        <w:t>One shared login endpoint for all three roles (VENDOR, COMPLIANCE, BUYER_ADMIN). The request never includes a role, and the response never offers a role to pick — the role is read from the account itself, which was fixed permanently at the moment that account was created (see Section 5).</w:t>
      </w:r>
    </w:p>
    <w:tbl>
      <w:tblPr>
        <w:tblW w:type="auto" w:w="0"/>
        <w:jc w:val="left"/>
        <w:tblLook w:firstColumn="1" w:firstRow="1" w:lastColumn="0" w:lastRow="0" w:noHBand="0" w:noVBand="1" w:val="04A0"/>
        <w:tblBorders>
          <w:top w:val="single" w:sz="6" w:space="0" w:color="B0B0B0"/>
          <w:left w:val="single" w:sz="6" w:space="0" w:color="B0B0B0"/>
          <w:bottom w:val="single" w:sz="6" w:space="0" w:color="B0B0B0"/>
          <w:right w:val="single" w:sz="6" w:space="0" w:color="B0B0B0"/>
        </w:tblBorders>
      </w:tblPr>
      <w:tblGrid>
        <w:gridCol w:w="9360"/>
      </w:tblGrid>
      <w:tr>
        <w:tc>
          <w:tcPr>
            <w:tcW w:type="dxa" w:w="9360"/>
            <w:shd w:val="clear" w:color="auto" w:fill="F5F5F5"/>
          </w:tcPr>
          <w:p>
            <w:pPr>
              <w:spacing w:after="0"/>
            </w:pPr>
            <w:r>
              <w:rPr>
                <w:rFonts w:ascii="Consolas" w:hAnsi="Consolas"/>
                <w:color w:val="1F1F1F"/>
                <w:sz w:val="17"/>
              </w:rPr>
              <w:t>Request:</w:t>
            </w:r>
          </w:p>
          <w:p>
            <w:pPr>
              <w:spacing w:after="0"/>
            </w:pPr>
            <w:r>
              <w:rPr>
                <w:rFonts w:ascii="Consolas" w:hAnsi="Consolas"/>
                <w:color w:val="1F1F1F"/>
                <w:sz w:val="17"/>
              </w:rPr>
              <w:t>{</w:t>
            </w:r>
          </w:p>
          <w:p>
            <w:pPr>
              <w:spacing w:after="0"/>
            </w:pPr>
            <w:r>
              <w:rPr>
                <w:rFonts w:ascii="Consolas" w:hAnsi="Consolas"/>
                <w:color w:val="1F1F1F"/>
                <w:sz w:val="17"/>
              </w:rPr>
              <w:t xml:space="preserve">  "email": "priya@midmarketco.example",</w:t>
            </w:r>
          </w:p>
          <w:p>
            <w:pPr>
              <w:spacing w:after="0"/>
            </w:pPr>
            <w:r>
              <w:rPr>
                <w:rFonts w:ascii="Consolas" w:hAnsi="Consolas"/>
                <w:color w:val="1F1F1F"/>
                <w:sz w:val="17"/>
              </w:rPr>
              <w:t xml:space="preserve">  "password": "••••••••"</w:t>
            </w:r>
          </w:p>
          <w:p>
            <w:pPr>
              <w:spacing w:after="0"/>
            </w:pPr>
            <w:r>
              <w:rPr>
                <w:rFonts w:ascii="Consolas" w:hAnsi="Consolas"/>
                <w:color w:val="1F1F1F"/>
                <w:sz w:val="17"/>
              </w:rPr>
              <w:t>}</w:t>
            </w:r>
          </w:p>
          <w:p>
            <w:pPr>
              <w:spacing w:after="0"/>
            </w:pPr>
            <w:r>
              <w:rPr>
                <w:rFonts w:ascii="Consolas" w:hAnsi="Consolas"/>
                <w:color w:val="1F1F1F"/>
                <w:sz w:val="17"/>
              </w:rPr>
              <w:t xml:space="preserve"> </w:t>
            </w:r>
          </w:p>
          <w:p>
            <w:pPr>
              <w:spacing w:after="0"/>
            </w:pPr>
            <w:r>
              <w:rPr>
                <w:rFonts w:ascii="Consolas" w:hAnsi="Consolas"/>
                <w:color w:val="1F1F1F"/>
                <w:sz w:val="17"/>
              </w:rPr>
              <w:t>Response 200 OK:</w:t>
            </w:r>
          </w:p>
          <w:p>
            <w:pPr>
              <w:spacing w:after="0"/>
            </w:pPr>
            <w:r>
              <w:rPr>
                <w:rFonts w:ascii="Consolas" w:hAnsi="Consolas"/>
                <w:color w:val="1F1F1F"/>
                <w:sz w:val="17"/>
              </w:rPr>
              <w:t>{</w:t>
            </w:r>
          </w:p>
          <w:p>
            <w:pPr>
              <w:spacing w:after="0"/>
            </w:pPr>
            <w:r>
              <w:rPr>
                <w:rFonts w:ascii="Consolas" w:hAnsi="Consolas"/>
                <w:color w:val="1F1F1F"/>
                <w:sz w:val="17"/>
              </w:rPr>
              <w:t xml:space="preserve">  "access_token": "&lt;JWT&gt;",</w:t>
            </w:r>
          </w:p>
          <w:p>
            <w:pPr>
              <w:spacing w:after="0"/>
            </w:pPr>
            <w:r>
              <w:rPr>
                <w:rFonts w:ascii="Consolas" w:hAnsi="Consolas"/>
                <w:color w:val="1F1F1F"/>
                <w:sz w:val="17"/>
              </w:rPr>
              <w:t xml:space="preserve">  "role": "COMPLIANCE",</w:t>
            </w:r>
          </w:p>
          <w:p>
            <w:pPr>
              <w:spacing w:after="0"/>
            </w:pPr>
            <w:r>
              <w:rPr>
                <w:rFonts w:ascii="Consolas" w:hAnsi="Consolas"/>
                <w:color w:val="1F1F1F"/>
                <w:sz w:val="17"/>
              </w:rPr>
              <w:t xml:space="preserve">  "buyer_id": "f433f8ec-0412-d00d-6c22-0a441470eb55",</w:t>
            </w:r>
          </w:p>
          <w:p>
            <w:pPr>
              <w:spacing w:after="0"/>
            </w:pPr>
            <w:r>
              <w:rPr>
                <w:rFonts w:ascii="Consolas" w:hAnsi="Consolas"/>
                <w:color w:val="1F1F1F"/>
                <w:sz w:val="17"/>
              </w:rPr>
              <w:t xml:space="preserve">  "vendor_id": null</w:t>
            </w:r>
          </w:p>
          <w:p>
            <w:pPr>
              <w:spacing w:after="0"/>
            </w:pPr>
            <w:r>
              <w:rPr>
                <w:rFonts w:ascii="Consolas" w:hAnsi="Consolas"/>
                <w:color w:val="1F1F1F"/>
                <w:sz w:val="17"/>
              </w:rPr>
              <w:t>}</w:t>
            </w:r>
          </w:p>
          <w:p>
            <w:pPr>
              <w:spacing w:after="0"/>
            </w:pPr>
            <w:r>
              <w:rPr>
                <w:rFonts w:ascii="Consolas" w:hAnsi="Consolas"/>
                <w:color w:val="1F1F1F"/>
                <w:sz w:val="17"/>
              </w:rPr>
              <w:t xml:space="preserve"> </w:t>
            </w:r>
          </w:p>
          <w:p>
            <w:pPr>
              <w:spacing w:after="0"/>
            </w:pPr>
            <w:r>
              <w:rPr>
                <w:rFonts w:ascii="Consolas" w:hAnsi="Consolas"/>
                <w:color w:val="1F1F1F"/>
                <w:sz w:val="17"/>
              </w:rPr>
              <w:t>-- The JWT payload itself embeds the same role/buyer_id/vendor_id claims, signed server-side.</w:t>
            </w:r>
          </w:p>
          <w:p>
            <w:pPr>
              <w:spacing w:after="0"/>
            </w:pPr>
            <w:r>
              <w:rPr>
                <w:rFonts w:ascii="Consolas" w:hAnsi="Consolas"/>
                <w:color w:val="1F1F1F"/>
                <w:sz w:val="17"/>
              </w:rPr>
              <w:t>-- The frontend uses these claims to select the ENTIRE screen set shown after login — there is no</w:t>
            </w:r>
          </w:p>
          <w:p>
            <w:pPr>
              <w:spacing w:after="0"/>
            </w:pPr>
            <w:r>
              <w:rPr>
                <w:rFonts w:ascii="Consolas" w:hAnsi="Consolas"/>
                <w:color w:val="1F1F1F"/>
                <w:sz w:val="17"/>
              </w:rPr>
              <w:t>-- separate 'select your role' step, and no UI control anywhere lets a user change this after login.</w:t>
            </w:r>
          </w:p>
        </w:tc>
      </w:tr>
    </w:tbl>
    <w:p>
      <w:pPr>
        <w:spacing w:after="40"/>
      </w:pPr>
    </w:p>
    <w:p>
      <w:pPr>
        <w:pStyle w:val="Heading3"/>
      </w:pPr>
      <w:r>
        <w:t>D. Buyer-Admin Invites a Compliance User — POST /v1/buyer-users/invite</w:t>
      </w:r>
    </w:p>
    <w:p>
      <w:r>
        <w:rPr>
          <w:b w:val="0"/>
          <w:i w:val="0"/>
          <w:color w:val="1F1F1F"/>
        </w:rPr>
        <w:t>BUYER_ADMIN-only. This is how a Compliance Analyst account (e.g. Priya's) comes into existence — never by open self-signup.</w:t>
      </w:r>
    </w:p>
    <w:tbl>
      <w:tblPr>
        <w:tblW w:type="auto" w:w="0"/>
        <w:jc w:val="left"/>
        <w:tblLook w:firstColumn="1" w:firstRow="1" w:lastColumn="0" w:lastRow="0" w:noHBand="0" w:noVBand="1" w:val="04A0"/>
        <w:tblBorders>
          <w:top w:val="single" w:sz="6" w:space="0" w:color="B0B0B0"/>
          <w:left w:val="single" w:sz="6" w:space="0" w:color="B0B0B0"/>
          <w:bottom w:val="single" w:sz="6" w:space="0" w:color="B0B0B0"/>
          <w:right w:val="single" w:sz="6" w:space="0" w:color="B0B0B0"/>
        </w:tblBorders>
      </w:tblPr>
      <w:tblGrid>
        <w:gridCol w:w="9360"/>
      </w:tblGrid>
      <w:tr>
        <w:tc>
          <w:tcPr>
            <w:tcW w:type="dxa" w:w="9360"/>
            <w:shd w:val="clear" w:color="auto" w:fill="F5F5F5"/>
          </w:tcPr>
          <w:p>
            <w:pPr>
              <w:spacing w:after="0"/>
            </w:pPr>
            <w:r>
              <w:rPr>
                <w:rFonts w:ascii="Consolas" w:hAnsi="Consolas"/>
                <w:color w:val="1F1F1F"/>
                <w:sz w:val="17"/>
              </w:rPr>
              <w:t>Request Headers:</w:t>
            </w:r>
          </w:p>
          <w:p>
            <w:pPr>
              <w:spacing w:after="0"/>
            </w:pPr>
            <w:r>
              <w:rPr>
                <w:rFonts w:ascii="Consolas" w:hAnsi="Consolas"/>
                <w:color w:val="1F1F1F"/>
                <w:sz w:val="17"/>
              </w:rPr>
              <w:t xml:space="preserve">  Authorization: Bearer &lt;JWT_TOKEN_OF_A_BUYER_ADMIN&gt;</w:t>
            </w:r>
          </w:p>
          <w:p>
            <w:pPr>
              <w:spacing w:after="0"/>
            </w:pPr>
            <w:r>
              <w:rPr>
                <w:rFonts w:ascii="Consolas" w:hAnsi="Consolas"/>
                <w:color w:val="1F1F1F"/>
                <w:sz w:val="17"/>
              </w:rPr>
              <w:t xml:space="preserve"> </w:t>
            </w:r>
          </w:p>
          <w:p>
            <w:pPr>
              <w:spacing w:after="0"/>
            </w:pPr>
            <w:r>
              <w:rPr>
                <w:rFonts w:ascii="Consolas" w:hAnsi="Consolas"/>
                <w:color w:val="1F1F1F"/>
                <w:sz w:val="17"/>
              </w:rPr>
              <w:t>Request:</w:t>
            </w:r>
          </w:p>
          <w:p>
            <w:pPr>
              <w:spacing w:after="0"/>
            </w:pPr>
            <w:r>
              <w:rPr>
                <w:rFonts w:ascii="Consolas" w:hAnsi="Consolas"/>
                <w:color w:val="1F1F1F"/>
                <w:sz w:val="17"/>
              </w:rPr>
              <w:t>{</w:t>
            </w:r>
          </w:p>
          <w:p>
            <w:pPr>
              <w:spacing w:after="0"/>
            </w:pPr>
            <w:r>
              <w:rPr>
                <w:rFonts w:ascii="Consolas" w:hAnsi="Consolas"/>
                <w:color w:val="1F1F1F"/>
                <w:sz w:val="17"/>
              </w:rPr>
              <w:t xml:space="preserve">  "email": "priya@midmarketco.example",</w:t>
            </w:r>
          </w:p>
          <w:p>
            <w:pPr>
              <w:spacing w:after="0"/>
            </w:pPr>
            <w:r>
              <w:rPr>
                <w:rFonts w:ascii="Consolas" w:hAnsi="Consolas"/>
                <w:color w:val="1F1F1F"/>
                <w:sz w:val="17"/>
              </w:rPr>
              <w:t xml:space="preserve">  "role": "COMPLIANCE"</w:t>
            </w:r>
          </w:p>
          <w:p>
            <w:pPr>
              <w:spacing w:after="0"/>
            </w:pPr>
            <w:r>
              <w:rPr>
                <w:rFonts w:ascii="Consolas" w:hAnsi="Consolas"/>
                <w:color w:val="1F1F1F"/>
                <w:sz w:val="17"/>
              </w:rPr>
              <w:t>}</w:t>
            </w:r>
          </w:p>
          <w:p>
            <w:pPr>
              <w:spacing w:after="0"/>
            </w:pPr>
            <w:r>
              <w:rPr>
                <w:rFonts w:ascii="Consolas" w:hAnsi="Consolas"/>
                <w:color w:val="1F1F1F"/>
                <w:sz w:val="17"/>
              </w:rPr>
              <w:t xml:space="preserve"> </w:t>
            </w:r>
          </w:p>
          <w:p>
            <w:pPr>
              <w:spacing w:after="0"/>
            </w:pPr>
            <w:r>
              <w:rPr>
                <w:rFonts w:ascii="Consolas" w:hAnsi="Consolas"/>
                <w:color w:val="1F1F1F"/>
                <w:sz w:val="17"/>
              </w:rPr>
              <w:t>Response 201 Created:</w:t>
            </w:r>
          </w:p>
          <w:p>
            <w:pPr>
              <w:spacing w:after="0"/>
            </w:pPr>
            <w:r>
              <w:rPr>
                <w:rFonts w:ascii="Consolas" w:hAnsi="Consolas"/>
                <w:color w:val="1F1F1F"/>
                <w:sz w:val="17"/>
              </w:rPr>
              <w:t>{</w:t>
            </w:r>
          </w:p>
          <w:p>
            <w:pPr>
              <w:spacing w:after="0"/>
            </w:pPr>
            <w:r>
              <w:rPr>
                <w:rFonts w:ascii="Consolas" w:hAnsi="Consolas"/>
                <w:color w:val="1F1F1F"/>
                <w:sz w:val="17"/>
              </w:rPr>
              <w:t xml:space="preserve">  "invited_user_id": "1a2b3c4d-...",</w:t>
            </w:r>
          </w:p>
          <w:p>
            <w:pPr>
              <w:spacing w:after="0"/>
            </w:pPr>
            <w:r>
              <w:rPr>
                <w:rFonts w:ascii="Consolas" w:hAnsi="Consolas"/>
                <w:color w:val="1F1F1F"/>
                <w:sz w:val="17"/>
              </w:rPr>
              <w:t xml:space="preserve">  "buyer_id": "f433f8ec-0412-d00d-6c22-0a441470eb55",</w:t>
            </w:r>
          </w:p>
          <w:p>
            <w:pPr>
              <w:spacing w:after="0"/>
            </w:pPr>
            <w:r>
              <w:rPr>
                <w:rFonts w:ascii="Consolas" w:hAnsi="Consolas"/>
                <w:color w:val="1F1F1F"/>
                <w:sz w:val="17"/>
              </w:rPr>
              <w:t xml:space="preserve">  "role": "COMPLIANCE",</w:t>
            </w:r>
          </w:p>
          <w:p>
            <w:pPr>
              <w:spacing w:after="0"/>
            </w:pPr>
            <w:r>
              <w:rPr>
                <w:rFonts w:ascii="Consolas" w:hAnsi="Consolas"/>
                <w:color w:val="1F1F1F"/>
                <w:sz w:val="17"/>
              </w:rPr>
              <w:t xml:space="preserve">  "status": "PENDING_FIRST_LOGIN"</w:t>
            </w:r>
          </w:p>
          <w:p>
            <w:pPr>
              <w:spacing w:after="0"/>
            </w:pPr>
            <w:r>
              <w:rPr>
                <w:rFonts w:ascii="Consolas" w:hAnsi="Consolas"/>
                <w:color w:val="1F1F1F"/>
                <w:sz w:val="17"/>
              </w:rPr>
              <w:t>}</w:t>
            </w:r>
          </w:p>
          <w:p>
            <w:pPr>
              <w:spacing w:after="0"/>
            </w:pPr>
            <w:r>
              <w:rPr>
                <w:rFonts w:ascii="Consolas" w:hAnsi="Consolas"/>
                <w:color w:val="1F1F1F"/>
                <w:sz w:val="17"/>
              </w:rPr>
              <w:t xml:space="preserve"> </w:t>
            </w:r>
          </w:p>
          <w:p>
            <w:pPr>
              <w:spacing w:after="0"/>
            </w:pPr>
            <w:r>
              <w:rPr>
                <w:rFonts w:ascii="Consolas" w:hAnsi="Consolas"/>
                <w:color w:val="1F1F1F"/>
                <w:sz w:val="17"/>
              </w:rPr>
              <w:t>-- role is fixed to COMPLIANCE at invite time and can never be changed after the account is created.</w:t>
            </w:r>
          </w:p>
          <w:p>
            <w:pPr>
              <w:spacing w:after="0"/>
            </w:pPr>
            <w:r>
              <w:rPr>
                <w:rFonts w:ascii="Consolas" w:hAnsi="Consolas"/>
                <w:color w:val="1F1F1F"/>
                <w:sz w:val="17"/>
              </w:rPr>
              <w:t>-- buyer_id is copied from the inviting BUYER_ADMIN's own token — an admin can only ever invite</w:t>
            </w:r>
          </w:p>
          <w:p>
            <w:pPr>
              <w:spacing w:after="0"/>
            </w:pPr>
            <w:r>
              <w:rPr>
                <w:rFonts w:ascii="Consolas" w:hAnsi="Consolas"/>
                <w:color w:val="1F1F1F"/>
                <w:sz w:val="17"/>
              </w:rPr>
              <w:t>-- someone into their OWN buyer tenant, never into another buyer's tenant.</w:t>
            </w:r>
          </w:p>
        </w:tc>
      </w:tr>
    </w:tbl>
    <w:p>
      <w:pPr>
        <w:spacing w:after="40"/>
      </w:pPr>
    </w:p>
    <w:p>
      <w:pPr>
        <w:pStyle w:val="Heading3"/>
      </w:pPr>
      <w:r>
        <w:t>E. Oracle Fusion Write-Back — POST .../externalDataProviderAndSupplierAttributeMappings</w:t>
      </w:r>
    </w:p>
    <w:p>
      <w:r>
        <w:rPr>
          <w:b w:val="0"/>
          <w:i w:val="0"/>
          <w:color w:val="1F1F1F"/>
        </w:rPr>
        <w:t>Outbound payload updating Oracle Fusion's supplier master via its native attribute-mapping REST endpoint.</w:t>
      </w:r>
    </w:p>
    <w:tbl>
      <w:tblPr>
        <w:tblW w:type="auto" w:w="0"/>
        <w:jc w:val="left"/>
        <w:tblLook w:firstColumn="1" w:firstRow="1" w:lastColumn="0" w:lastRow="0" w:noHBand="0" w:noVBand="1" w:val="04A0"/>
        <w:tblBorders>
          <w:top w:val="single" w:sz="6" w:space="0" w:color="B0B0B0"/>
          <w:left w:val="single" w:sz="6" w:space="0" w:color="B0B0B0"/>
          <w:bottom w:val="single" w:sz="6" w:space="0" w:color="B0B0B0"/>
          <w:right w:val="single" w:sz="6" w:space="0" w:color="B0B0B0"/>
        </w:tblBorders>
      </w:tblPr>
      <w:tblGrid>
        <w:gridCol w:w="9360"/>
      </w:tblGrid>
      <w:tr>
        <w:tc>
          <w:tcPr>
            <w:tcW w:type="dxa" w:w="9360"/>
            <w:shd w:val="clear" w:color="auto" w:fill="F5F5F5"/>
          </w:tcPr>
          <w:p>
            <w:pPr>
              <w:spacing w:after="0"/>
            </w:pPr>
            <w:r>
              <w:rPr>
                <w:rFonts w:ascii="Consolas" w:hAnsi="Consolas"/>
                <w:color w:val="1F1F1F"/>
                <w:sz w:val="17"/>
              </w:rPr>
              <w:t>POST /fscmRestApi/resources/11.13.18.05/externalDataProviderAndSupplierAttributeMappings</w:t>
            </w:r>
          </w:p>
          <w:p>
            <w:pPr>
              <w:spacing w:after="0"/>
            </w:pPr>
            <w:r>
              <w:rPr>
                <w:rFonts w:ascii="Consolas" w:hAnsi="Consolas"/>
                <w:color w:val="1F1F1F"/>
                <w:sz w:val="17"/>
              </w:rPr>
              <w:t>{</w:t>
            </w:r>
          </w:p>
          <w:p>
            <w:pPr>
              <w:spacing w:after="0"/>
            </w:pPr>
            <w:r>
              <w:rPr>
                <w:rFonts w:ascii="Consolas" w:hAnsi="Consolas"/>
                <w:color w:val="1F1F1F"/>
                <w:sz w:val="17"/>
              </w:rPr>
              <w:t xml:space="preserve">  "ExternalDataProviderCode": "PRAMAAN_TRUST",</w:t>
            </w:r>
          </w:p>
          <w:p>
            <w:pPr>
              <w:spacing w:after="0"/>
            </w:pPr>
            <w:r>
              <w:rPr>
                <w:rFonts w:ascii="Consolas" w:hAnsi="Consolas"/>
                <w:color w:val="1F1F1F"/>
                <w:sz w:val="17"/>
              </w:rPr>
              <w:t xml:space="preserve">  "SupplierNumber": "SUPP-90182",</w:t>
            </w:r>
          </w:p>
          <w:p>
            <w:pPr>
              <w:spacing w:after="0"/>
            </w:pPr>
            <w:r>
              <w:rPr>
                <w:rFonts w:ascii="Consolas" w:hAnsi="Consolas"/>
                <w:color w:val="1F1F1F"/>
                <w:sz w:val="17"/>
              </w:rPr>
              <w:t xml:space="preserve">  "AttributeMappings": [</w:t>
            </w:r>
          </w:p>
          <w:p>
            <w:pPr>
              <w:spacing w:after="0"/>
            </w:pPr>
            <w:r>
              <w:rPr>
                <w:rFonts w:ascii="Consolas" w:hAnsi="Consolas"/>
                <w:color w:val="1F1F1F"/>
                <w:sz w:val="17"/>
              </w:rPr>
              <w:t xml:space="preserve">    {"SupplierAttributeName": "TAX_REGISTRATION_NUMBER", "ExternalAttributeValue": "27AAAAA1111A1Z1",</w:t>
            </w:r>
          </w:p>
          <w:p>
            <w:pPr>
              <w:spacing w:after="0"/>
            </w:pPr>
            <w:r>
              <w:rPr>
                <w:rFonts w:ascii="Consolas" w:hAnsi="Consolas"/>
                <w:color w:val="1F1F1F"/>
                <w:sz w:val="17"/>
              </w:rPr>
              <w:t xml:space="preserve">     "VerificationStatus": "VERIFIED", "VerificationDate": "2026-08-07"},</w:t>
            </w:r>
          </w:p>
          <w:p>
            <w:pPr>
              <w:spacing w:after="0"/>
            </w:pPr>
            <w:r>
              <w:rPr>
                <w:rFonts w:ascii="Consolas" w:hAnsi="Consolas"/>
                <w:color w:val="1F1F1F"/>
                <w:sz w:val="17"/>
              </w:rPr>
              <w:t xml:space="preserve">    {"SupplierAttributeName": "BUSINESS_CLASSIFICATION", "ExternalAttributeValue": "MICRO_ENTERPRISE",</w:t>
            </w:r>
          </w:p>
          <w:p>
            <w:pPr>
              <w:spacing w:after="0"/>
            </w:pPr>
            <w:r>
              <w:rPr>
                <w:rFonts w:ascii="Consolas" w:hAnsi="Consolas"/>
                <w:color w:val="1F1F1F"/>
                <w:sz w:val="17"/>
              </w:rPr>
              <w:t xml:space="preserve">     "VerificationStatus": "VERIFIED", "VerificationDate": "2026-08-07"}</w:t>
            </w:r>
          </w:p>
          <w:p>
            <w:pPr>
              <w:spacing w:after="0"/>
            </w:pPr>
            <w:r>
              <w:rPr>
                <w:rFonts w:ascii="Consolas" w:hAnsi="Consolas"/>
                <w:color w:val="1F1F1F"/>
                <w:sz w:val="17"/>
              </w:rPr>
              <w:t xml:space="preserve">  ]</w:t>
            </w:r>
          </w:p>
          <w:p>
            <w:pPr>
              <w:spacing w:after="0"/>
            </w:pPr>
            <w:r>
              <w:rPr>
                <w:rFonts w:ascii="Consolas" w:hAnsi="Consolas"/>
                <w:color w:val="1F1F1F"/>
                <w:sz w:val="17"/>
              </w:rPr>
              <w:t>}</w:t>
            </w:r>
          </w:p>
        </w:tc>
      </w:tr>
    </w:tbl>
    <w:p>
      <w:pPr>
        <w:spacing w:after="40"/>
      </w:pPr>
    </w:p>
    <w:p>
      <w:pPr>
        <w:pStyle w:val="Heading3"/>
      </w:pPr>
      <w:r>
        <w:t>F. SAP BTP OData Write-Back — POST .../SupplierMSMEdetails</w:t>
      </w:r>
    </w:p>
    <w:p>
      <w:r>
        <w:rPr>
          <w:b w:val="0"/>
          <w:i w:val="0"/>
          <w:color w:val="1F1F1F"/>
        </w:rPr>
        <w:t>OData payload sent via the SAP BTP API Management gateway to sync verified MSME classification into SAP S/4HANA master data.</w:t>
      </w:r>
    </w:p>
    <w:tbl>
      <w:tblPr>
        <w:tblW w:type="auto" w:w="0"/>
        <w:jc w:val="left"/>
        <w:tblLook w:firstColumn="1" w:firstRow="1" w:lastColumn="0" w:lastRow="0" w:noHBand="0" w:noVBand="1" w:val="04A0"/>
        <w:tblBorders>
          <w:top w:val="single" w:sz="6" w:space="0" w:color="B0B0B0"/>
          <w:left w:val="single" w:sz="6" w:space="0" w:color="B0B0B0"/>
          <w:bottom w:val="single" w:sz="6" w:space="0" w:color="B0B0B0"/>
          <w:right w:val="single" w:sz="6" w:space="0" w:color="B0B0B0"/>
        </w:tblBorders>
      </w:tblPr>
      <w:tblGrid>
        <w:gridCol w:w="9360"/>
      </w:tblGrid>
      <w:tr>
        <w:tc>
          <w:tcPr>
            <w:tcW w:type="dxa" w:w="9360"/>
            <w:shd w:val="clear" w:color="auto" w:fill="F5F5F5"/>
          </w:tcPr>
          <w:p>
            <w:pPr>
              <w:spacing w:after="0"/>
            </w:pPr>
            <w:r>
              <w:rPr>
                <w:rFonts w:ascii="Consolas" w:hAnsi="Consolas"/>
                <w:color w:val="1F1F1F"/>
                <w:sz w:val="17"/>
              </w:rPr>
              <w:t>POST /sap/opu/odata/sap/Z_SUPPLIER_TRUST_SRV/SupplierMSMEdetails</w:t>
            </w:r>
          </w:p>
          <w:p>
            <w:pPr>
              <w:spacing w:after="0"/>
            </w:pPr>
            <w:r>
              <w:rPr>
                <w:rFonts w:ascii="Consolas" w:hAnsi="Consolas"/>
                <w:color w:val="1F1F1F"/>
                <w:sz w:val="17"/>
              </w:rPr>
              <w:t>{</w:t>
            </w:r>
          </w:p>
          <w:p>
            <w:pPr>
              <w:spacing w:after="0"/>
            </w:pPr>
            <w:r>
              <w:rPr>
                <w:rFonts w:ascii="Consolas" w:hAnsi="Consolas"/>
                <w:color w:val="1F1F1F"/>
                <w:sz w:val="17"/>
              </w:rPr>
              <w:t xml:space="preserve">  "d": {</w:t>
            </w:r>
          </w:p>
          <w:p>
            <w:pPr>
              <w:spacing w:after="0"/>
            </w:pPr>
            <w:r>
              <w:rPr>
                <w:rFonts w:ascii="Consolas" w:hAnsi="Consolas"/>
                <w:color w:val="1F1F1F"/>
                <w:sz w:val="17"/>
              </w:rPr>
              <w:t xml:space="preserve">    "SupplierID": "VND-88912",</w:t>
            </w:r>
          </w:p>
          <w:p>
            <w:pPr>
              <w:spacing w:after="0"/>
            </w:pPr>
            <w:r>
              <w:rPr>
                <w:rFonts w:ascii="Consolas" w:hAnsi="Consolas"/>
                <w:color w:val="1F1F1F"/>
                <w:sz w:val="17"/>
              </w:rPr>
              <w:t xml:space="preserve">    "MSMEClassification": "MICRO",</w:t>
            </w:r>
          </w:p>
          <w:p>
            <w:pPr>
              <w:spacing w:after="0"/>
            </w:pPr>
            <w:r>
              <w:rPr>
                <w:rFonts w:ascii="Consolas" w:hAnsi="Consolas"/>
                <w:color w:val="1F1F1F"/>
                <w:sz w:val="17"/>
              </w:rPr>
              <w:t xml:space="preserve">    "UdyamRegistrationNumber": "UDYAM-MH-12-0012345",</w:t>
            </w:r>
          </w:p>
          <w:p>
            <w:pPr>
              <w:spacing w:after="0"/>
            </w:pPr>
            <w:r>
              <w:rPr>
                <w:rFonts w:ascii="Consolas" w:hAnsi="Consolas"/>
                <w:color w:val="1F1F1F"/>
                <w:sz w:val="17"/>
              </w:rPr>
              <w:t xml:space="preserve">    "VerificationSource": "Pramaan-UdyamRegistry",</w:t>
            </w:r>
          </w:p>
          <w:p>
            <w:pPr>
              <w:spacing w:after="0"/>
            </w:pPr>
            <w:r>
              <w:rPr>
                <w:rFonts w:ascii="Consolas" w:hAnsi="Consolas"/>
                <w:color w:val="1F1F1F"/>
                <w:sz w:val="17"/>
              </w:rPr>
              <w:t xml:space="preserve">    "VerifiedTimestamp": "\/Date(1786179152000)\/"</w:t>
            </w:r>
          </w:p>
          <w:p>
            <w:pPr>
              <w:spacing w:after="0"/>
            </w:pPr>
            <w:r>
              <w:rPr>
                <w:rFonts w:ascii="Consolas" w:hAnsi="Consolas"/>
                <w:color w:val="1F1F1F"/>
                <w:sz w:val="17"/>
              </w:rPr>
              <w:t xml:space="preserve">  }</w:t>
            </w:r>
          </w:p>
          <w:p>
            <w:pPr>
              <w:spacing w:after="0"/>
            </w:pPr>
            <w:r>
              <w:rPr>
                <w:rFonts w:ascii="Consolas" w:hAnsi="Consolas"/>
                <w:color w:val="1F1F1F"/>
                <w:sz w:val="17"/>
              </w:rPr>
              <w:t>}</w:t>
            </w:r>
          </w:p>
        </w:tc>
      </w:tr>
    </w:tbl>
    <w:p>
      <w:pPr>
        <w:spacing w:after="40"/>
      </w:pPr>
    </w:p>
    <w:p>
      <w:pPr>
        <w:pStyle w:val="Heading3"/>
      </w:pPr>
      <w:r>
        <w:t>G. Bulk Vendor Pull (Pull) — GET /v1/buyers/{buyer_id}/vendors</w:t>
      </w:r>
    </w:p>
    <w:p>
      <w:r>
        <w:rPr>
          <w:b w:val="0"/>
          <w:i w:val="0"/>
          <w:color w:val="1F1F1F"/>
        </w:rPr>
        <w:t>The pull-model counterpart to the push endpoints above. A buyer's ERP calls this directly, on its own schedule, to fetch every vendor profile linked to that buyer — paginated, never the whole table in one response. Tenant-scoped the same way as contract A: the query layer filters by buyer_id, so Buyer A can never receive Buyer B's vendors, even by requesting extra pages.</w:t>
      </w:r>
    </w:p>
    <w:tbl>
      <w:tblPr>
        <w:tblW w:type="auto" w:w="0"/>
        <w:jc w:val="left"/>
        <w:tblLook w:firstColumn="1" w:firstRow="1" w:lastColumn="0" w:lastRow="0" w:noHBand="0" w:noVBand="1" w:val="04A0"/>
        <w:tblBorders>
          <w:top w:val="single" w:sz="6" w:space="0" w:color="B0B0B0"/>
          <w:left w:val="single" w:sz="6" w:space="0" w:color="B0B0B0"/>
          <w:bottom w:val="single" w:sz="6" w:space="0" w:color="B0B0B0"/>
          <w:right w:val="single" w:sz="6" w:space="0" w:color="B0B0B0"/>
        </w:tblBorders>
      </w:tblPr>
      <w:tblGrid>
        <w:gridCol w:w="9360"/>
      </w:tblGrid>
      <w:tr>
        <w:tc>
          <w:tcPr>
            <w:tcW w:type="dxa" w:w="9360"/>
            <w:shd w:val="clear" w:color="auto" w:fill="F5F5F5"/>
          </w:tcPr>
          <w:p>
            <w:pPr>
              <w:spacing w:after="0"/>
            </w:pPr>
            <w:r>
              <w:rPr>
                <w:rFonts w:ascii="Consolas" w:hAnsi="Consolas"/>
                <w:color w:val="1F1F1F"/>
                <w:sz w:val="17"/>
              </w:rPr>
              <w:t>Request Headers:</w:t>
            </w:r>
          </w:p>
          <w:p>
            <w:pPr>
              <w:spacing w:after="0"/>
            </w:pPr>
            <w:r>
              <w:rPr>
                <w:rFonts w:ascii="Consolas" w:hAnsi="Consolas"/>
                <w:color w:val="1F1F1F"/>
                <w:sz w:val="17"/>
              </w:rPr>
              <w:t xml:space="preserve">  Authorization: Bearer &lt;JWT_TOKEN&gt;   -- BUYER_ADMIN or COMPLIANCE role, scoped to this buyer_id</w:t>
            </w:r>
          </w:p>
          <w:p>
            <w:pPr>
              <w:spacing w:after="0"/>
            </w:pPr>
            <w:r>
              <w:rPr>
                <w:rFonts w:ascii="Consolas" w:hAnsi="Consolas"/>
                <w:color w:val="1F1F1F"/>
                <w:sz w:val="17"/>
              </w:rPr>
              <w:t xml:space="preserve"> </w:t>
            </w:r>
          </w:p>
          <w:p>
            <w:pPr>
              <w:spacing w:after="0"/>
            </w:pPr>
            <w:r>
              <w:rPr>
                <w:rFonts w:ascii="Consolas" w:hAnsi="Consolas"/>
                <w:color w:val="1F1F1F"/>
                <w:sz w:val="17"/>
              </w:rPr>
              <w:t>Request Query Params:</w:t>
            </w:r>
          </w:p>
          <w:p>
            <w:pPr>
              <w:spacing w:after="0"/>
            </w:pPr>
            <w:r>
              <w:rPr>
                <w:rFonts w:ascii="Consolas" w:hAnsi="Consolas"/>
                <w:color w:val="1F1F1F"/>
                <w:sz w:val="17"/>
              </w:rPr>
              <w:t xml:space="preserve">  ?page=1&amp;page_size=100               -- page_size capped server-side (default 100, max 500)</w:t>
            </w:r>
          </w:p>
          <w:p>
            <w:pPr>
              <w:spacing w:after="0"/>
            </w:pPr>
            <w:r>
              <w:rPr>
                <w:rFonts w:ascii="Consolas" w:hAnsi="Consolas"/>
                <w:color w:val="1F1F1F"/>
                <w:sz w:val="17"/>
              </w:rPr>
              <w:t xml:space="preserve"> </w:t>
            </w:r>
          </w:p>
          <w:p>
            <w:pPr>
              <w:spacing w:after="0"/>
            </w:pPr>
            <w:r>
              <w:rPr>
                <w:rFonts w:ascii="Consolas" w:hAnsi="Consolas"/>
                <w:color w:val="1F1F1F"/>
                <w:sz w:val="17"/>
              </w:rPr>
              <w:t>Response 200 OK:</w:t>
            </w:r>
          </w:p>
          <w:p>
            <w:pPr>
              <w:spacing w:after="0"/>
            </w:pPr>
            <w:r>
              <w:rPr>
                <w:rFonts w:ascii="Consolas" w:hAnsi="Consolas"/>
                <w:color w:val="1F1F1F"/>
                <w:sz w:val="17"/>
              </w:rPr>
              <w:t>{</w:t>
            </w:r>
          </w:p>
          <w:p>
            <w:pPr>
              <w:spacing w:after="0"/>
            </w:pPr>
            <w:r>
              <w:rPr>
                <w:rFonts w:ascii="Consolas" w:hAnsi="Consolas"/>
                <w:color w:val="1F1F1F"/>
                <w:sz w:val="17"/>
              </w:rPr>
              <w:t xml:space="preserve">  "buyer_id": "f433f8ec-0412-d00d-6c22-0a441470eb55",</w:t>
            </w:r>
          </w:p>
          <w:p>
            <w:pPr>
              <w:spacing w:after="0"/>
            </w:pPr>
            <w:r>
              <w:rPr>
                <w:rFonts w:ascii="Consolas" w:hAnsi="Consolas"/>
                <w:color w:val="1F1F1F"/>
                <w:sz w:val="17"/>
              </w:rPr>
              <w:t xml:space="preserve">  "page": 1,</w:t>
            </w:r>
          </w:p>
          <w:p>
            <w:pPr>
              <w:spacing w:after="0"/>
            </w:pPr>
            <w:r>
              <w:rPr>
                <w:rFonts w:ascii="Consolas" w:hAnsi="Consolas"/>
                <w:color w:val="1F1F1F"/>
                <w:sz w:val="17"/>
              </w:rPr>
              <w:t xml:space="preserve">  "page_size": 100,</w:t>
            </w:r>
          </w:p>
          <w:p>
            <w:pPr>
              <w:spacing w:after="0"/>
            </w:pPr>
            <w:r>
              <w:rPr>
                <w:rFonts w:ascii="Consolas" w:hAnsi="Consolas"/>
                <w:color w:val="1F1F1F"/>
                <w:sz w:val="17"/>
              </w:rPr>
              <w:t xml:space="preserve">  "total_count": 342,</w:t>
            </w:r>
          </w:p>
          <w:p>
            <w:pPr>
              <w:spacing w:after="0"/>
            </w:pPr>
            <w:r>
              <w:rPr>
                <w:rFonts w:ascii="Consolas" w:hAnsi="Consolas"/>
                <w:color w:val="1F1F1F"/>
                <w:sz w:val="17"/>
              </w:rPr>
              <w:t xml:space="preserve">  "next_page": 2,</w:t>
            </w:r>
          </w:p>
          <w:p>
            <w:pPr>
              <w:spacing w:after="0"/>
            </w:pPr>
            <w:r>
              <w:rPr>
                <w:rFonts w:ascii="Consolas" w:hAnsi="Consolas"/>
                <w:color w:val="1F1F1F"/>
                <w:sz w:val="17"/>
              </w:rPr>
              <w:t xml:space="preserve">  "vendors": [</w:t>
            </w:r>
          </w:p>
          <w:p>
            <w:pPr>
              <w:spacing w:after="0"/>
            </w:pPr>
            <w:r>
              <w:rPr>
                <w:rFonts w:ascii="Consolas" w:hAnsi="Consolas"/>
                <w:color w:val="1F1F1F"/>
                <w:sz w:val="17"/>
              </w:rPr>
              <w:t xml:space="preserve">    { "vendor_id": "83c1d0e0-...", "legal_name": "Ravi Sharma Logistics Ltd.",</w:t>
            </w:r>
          </w:p>
          <w:p>
            <w:pPr>
              <w:spacing w:after="0"/>
            </w:pPr>
            <w:r>
              <w:rPr>
                <w:rFonts w:ascii="Consolas" w:hAnsi="Consolas"/>
                <w:color w:val="1F1F1F"/>
                <w:sz w:val="17"/>
              </w:rPr>
              <w:t xml:space="preserve">      "gst_status": "ACTIVE", "msme_classification": "MICRO", "updated_at": "2026-08-07T08:52:32Z" },</w:t>
            </w:r>
          </w:p>
          <w:p>
            <w:pPr>
              <w:spacing w:after="0"/>
            </w:pPr>
            <w:r>
              <w:rPr>
                <w:rFonts w:ascii="Consolas" w:hAnsi="Consolas"/>
                <w:color w:val="1F1F1F"/>
                <w:sz w:val="17"/>
              </w:rPr>
              <w:t xml:space="preserve">    ... (up to page_size entries)</w:t>
            </w:r>
          </w:p>
          <w:p>
            <w:pPr>
              <w:spacing w:after="0"/>
            </w:pPr>
            <w:r>
              <w:rPr>
                <w:rFonts w:ascii="Consolas" w:hAnsi="Consolas"/>
                <w:color w:val="1F1F1F"/>
                <w:sz w:val="17"/>
              </w:rPr>
              <w:t xml:space="preserve">  ]</w:t>
            </w:r>
          </w:p>
          <w:p>
            <w:pPr>
              <w:spacing w:after="0"/>
            </w:pPr>
            <w:r>
              <w:rPr>
                <w:rFonts w:ascii="Consolas" w:hAnsi="Consolas"/>
                <w:color w:val="1F1F1F"/>
                <w:sz w:val="17"/>
              </w:rPr>
              <w:t>}</w:t>
            </w:r>
          </w:p>
        </w:tc>
      </w:tr>
    </w:tbl>
    <w:p>
      <w:pPr>
        <w:spacing w:after="40"/>
      </w:pPr>
    </w:p>
    <w:p>
      <w:pPr>
        <w:pStyle w:val="Heading3"/>
      </w:pPr>
      <w:r>
        <w:t>H. Incremental Change Feed (Pull) — GET /v1/buyers/{buyer_id}/vendors/changes</w:t>
      </w:r>
    </w:p>
    <w:p>
      <w:r>
        <w:rPr>
          <w:b w:val="0"/>
          <w:i w:val="0"/>
          <w:color w:val="1F1F1F"/>
        </w:rPr>
        <w:t>The endpoint that makes polling practical instead of wasteful: the buyer's ERP passes back the `next_since` cursor it received last time, and gets back only what changed since then — not a full re-download. This is the endpoint a scheduled ERP job (e.g. an hourly cron on the SAP or Oracle side) would call in a loop, forever, the same way Pramaan's own Continuous Monitoring Engine re-checks government registries forever.</w:t>
      </w:r>
    </w:p>
    <w:tbl>
      <w:tblPr>
        <w:tblW w:type="auto" w:w="0"/>
        <w:jc w:val="left"/>
        <w:tblLook w:firstColumn="1" w:firstRow="1" w:lastColumn="0" w:lastRow="0" w:noHBand="0" w:noVBand="1" w:val="04A0"/>
        <w:tblBorders>
          <w:top w:val="single" w:sz="6" w:space="0" w:color="B0B0B0"/>
          <w:left w:val="single" w:sz="6" w:space="0" w:color="B0B0B0"/>
          <w:bottom w:val="single" w:sz="6" w:space="0" w:color="B0B0B0"/>
          <w:right w:val="single" w:sz="6" w:space="0" w:color="B0B0B0"/>
        </w:tblBorders>
      </w:tblPr>
      <w:tblGrid>
        <w:gridCol w:w="9360"/>
      </w:tblGrid>
      <w:tr>
        <w:tc>
          <w:tcPr>
            <w:tcW w:type="dxa" w:w="9360"/>
            <w:shd w:val="clear" w:color="auto" w:fill="F5F5F5"/>
          </w:tcPr>
          <w:p>
            <w:pPr>
              <w:spacing w:after="0"/>
            </w:pPr>
            <w:r>
              <w:rPr>
                <w:rFonts w:ascii="Consolas" w:hAnsi="Consolas"/>
                <w:color w:val="1F1F1F"/>
                <w:sz w:val="17"/>
              </w:rPr>
              <w:t>Request Headers:</w:t>
            </w:r>
          </w:p>
          <w:p>
            <w:pPr>
              <w:spacing w:after="0"/>
            </w:pPr>
            <w:r>
              <w:rPr>
                <w:rFonts w:ascii="Consolas" w:hAnsi="Consolas"/>
                <w:color w:val="1F1F1F"/>
                <w:sz w:val="17"/>
              </w:rPr>
              <w:t xml:space="preserve">  Authorization: Bearer &lt;JWT_TOKEN&gt;</w:t>
            </w:r>
          </w:p>
          <w:p>
            <w:pPr>
              <w:spacing w:after="0"/>
            </w:pPr>
            <w:r>
              <w:rPr>
                <w:rFonts w:ascii="Consolas" w:hAnsi="Consolas"/>
                <w:color w:val="1F1F1F"/>
                <w:sz w:val="17"/>
              </w:rPr>
              <w:t xml:space="preserve"> </w:t>
            </w:r>
          </w:p>
          <w:p>
            <w:pPr>
              <w:spacing w:after="0"/>
            </w:pPr>
            <w:r>
              <w:rPr>
                <w:rFonts w:ascii="Consolas" w:hAnsi="Consolas"/>
                <w:color w:val="1F1F1F"/>
                <w:sz w:val="17"/>
              </w:rPr>
              <w:t>Request Query Params:</w:t>
            </w:r>
          </w:p>
          <w:p>
            <w:pPr>
              <w:spacing w:after="0"/>
            </w:pPr>
            <w:r>
              <w:rPr>
                <w:rFonts w:ascii="Consolas" w:hAnsi="Consolas"/>
                <w:color w:val="1F1F1F"/>
                <w:sz w:val="17"/>
              </w:rPr>
              <w:t xml:space="preserve">  ?since=2026-08-07T00:00:00Z&amp;page=1&amp;page_size=100</w:t>
            </w:r>
          </w:p>
          <w:p>
            <w:pPr>
              <w:spacing w:after="0"/>
            </w:pPr>
            <w:r>
              <w:rPr>
                <w:rFonts w:ascii="Consolas" w:hAnsi="Consolas"/>
                <w:color w:val="1F1F1F"/>
                <w:sz w:val="17"/>
              </w:rPr>
              <w:t xml:space="preserve"> </w:t>
            </w:r>
          </w:p>
          <w:p>
            <w:pPr>
              <w:spacing w:after="0"/>
            </w:pPr>
            <w:r>
              <w:rPr>
                <w:rFonts w:ascii="Consolas" w:hAnsi="Consolas"/>
                <w:color w:val="1F1F1F"/>
                <w:sz w:val="17"/>
              </w:rPr>
              <w:t>Response 200 OK (normal case):</w:t>
            </w:r>
          </w:p>
          <w:p>
            <w:pPr>
              <w:spacing w:after="0"/>
            </w:pPr>
            <w:r>
              <w:rPr>
                <w:rFonts w:ascii="Consolas" w:hAnsi="Consolas"/>
                <w:color w:val="1F1F1F"/>
                <w:sz w:val="17"/>
              </w:rPr>
              <w:t>{</w:t>
            </w:r>
          </w:p>
          <w:p>
            <w:pPr>
              <w:spacing w:after="0"/>
            </w:pPr>
            <w:r>
              <w:rPr>
                <w:rFonts w:ascii="Consolas" w:hAnsi="Consolas"/>
                <w:color w:val="1F1F1F"/>
                <w:sz w:val="17"/>
              </w:rPr>
              <w:t xml:space="preserve">  "buyer_id": "f433f8ec-0412-d00d-6c22-0a441470eb55",</w:t>
            </w:r>
          </w:p>
          <w:p>
            <w:pPr>
              <w:spacing w:after="0"/>
            </w:pPr>
            <w:r>
              <w:rPr>
                <w:rFonts w:ascii="Consolas" w:hAnsi="Consolas"/>
                <w:color w:val="1F1F1F"/>
                <w:sz w:val="17"/>
              </w:rPr>
              <w:t xml:space="preserve">  "since": "2026-08-07T00:00:00Z",</w:t>
            </w:r>
          </w:p>
          <w:p>
            <w:pPr>
              <w:spacing w:after="0"/>
            </w:pPr>
            <w:r>
              <w:rPr>
                <w:rFonts w:ascii="Consolas" w:hAnsi="Consolas"/>
                <w:color w:val="1F1F1F"/>
                <w:sz w:val="17"/>
              </w:rPr>
              <w:t xml:space="preserve">  "next_since": "2026-08-08T09:14:02Z",   -- pass this back as `since` on the NEXT poll</w:t>
            </w:r>
          </w:p>
          <w:p>
            <w:pPr>
              <w:spacing w:after="0"/>
            </w:pPr>
            <w:r>
              <w:rPr>
                <w:rFonts w:ascii="Consolas" w:hAnsi="Consolas"/>
                <w:color w:val="1F1F1F"/>
                <w:sz w:val="17"/>
              </w:rPr>
              <w:t xml:space="preserve">  "resync_required": false,</w:t>
            </w:r>
          </w:p>
          <w:p>
            <w:pPr>
              <w:spacing w:after="0"/>
            </w:pPr>
            <w:r>
              <w:rPr>
                <w:rFonts w:ascii="Consolas" w:hAnsi="Consolas"/>
                <w:color w:val="1F1F1F"/>
                <w:sz w:val="17"/>
              </w:rPr>
              <w:t xml:space="preserve">  "changed_vendors": [</w:t>
            </w:r>
          </w:p>
          <w:p>
            <w:pPr>
              <w:spacing w:after="0"/>
            </w:pPr>
            <w:r>
              <w:rPr>
                <w:rFonts w:ascii="Consolas" w:hAnsi="Consolas"/>
                <w:color w:val="1F1F1F"/>
                <w:sz w:val="17"/>
              </w:rPr>
              <w:t xml:space="preserve">    { "vendor_id": "83c1d0e0-...", "changed_fields": ["bank_account_num", "gst_status"],</w:t>
            </w:r>
          </w:p>
          <w:p>
            <w:pPr>
              <w:spacing w:after="0"/>
            </w:pPr>
            <w:r>
              <w:rPr>
                <w:rFonts w:ascii="Consolas" w:hAnsi="Consolas"/>
                <w:color w:val="1F1F1F"/>
                <w:sz w:val="17"/>
              </w:rPr>
              <w:t xml:space="preserve">      "severity": "CRITICAL", "changed_at": "2026-08-08T09:10:11Z" }</w:t>
            </w:r>
          </w:p>
          <w:p>
            <w:pPr>
              <w:spacing w:after="0"/>
            </w:pPr>
            <w:r>
              <w:rPr>
                <w:rFonts w:ascii="Consolas" w:hAnsi="Consolas"/>
                <w:color w:val="1F1F1F"/>
                <w:sz w:val="17"/>
              </w:rPr>
              <w:t xml:space="preserve">  ]</w:t>
            </w:r>
          </w:p>
          <w:p>
            <w:pPr>
              <w:spacing w:after="0"/>
            </w:pPr>
            <w:r>
              <w:rPr>
                <w:rFonts w:ascii="Consolas" w:hAnsi="Consolas"/>
                <w:color w:val="1F1F1F"/>
                <w:sz w:val="17"/>
              </w:rPr>
              <w:t>}</w:t>
            </w:r>
          </w:p>
          <w:p>
            <w:pPr>
              <w:spacing w:after="0"/>
            </w:pPr>
            <w:r>
              <w:rPr>
                <w:rFonts w:ascii="Consolas" w:hAnsi="Consolas"/>
                <w:color w:val="1F1F1F"/>
                <w:sz w:val="17"/>
              </w:rPr>
              <w:t xml:space="preserve"> </w:t>
            </w:r>
          </w:p>
          <w:p>
            <w:pPr>
              <w:spacing w:after="0"/>
            </w:pPr>
            <w:r>
              <w:rPr>
                <w:rFonts w:ascii="Consolas" w:hAnsi="Consolas"/>
                <w:color w:val="1F1F1F"/>
                <w:sz w:val="17"/>
              </w:rPr>
              <w:t>Response 200 OK (since is older than the retention window — e.g. &gt; 90 days):</w:t>
            </w:r>
          </w:p>
          <w:p>
            <w:pPr>
              <w:spacing w:after="0"/>
            </w:pPr>
            <w:r>
              <w:rPr>
                <w:rFonts w:ascii="Consolas" w:hAnsi="Consolas"/>
                <w:color w:val="1F1F1F"/>
                <w:sz w:val="17"/>
              </w:rPr>
              <w:t>{</w:t>
            </w:r>
          </w:p>
          <w:p>
            <w:pPr>
              <w:spacing w:after="0"/>
            </w:pPr>
            <w:r>
              <w:rPr>
                <w:rFonts w:ascii="Consolas" w:hAnsi="Consolas"/>
                <w:color w:val="1F1F1F"/>
                <w:sz w:val="17"/>
              </w:rPr>
              <w:t xml:space="preserve">  "resync_required": true,</w:t>
            </w:r>
          </w:p>
          <w:p>
            <w:pPr>
              <w:spacing w:after="0"/>
            </w:pPr>
            <w:r>
              <w:rPr>
                <w:rFonts w:ascii="Consolas" w:hAnsi="Consolas"/>
                <w:color w:val="1F1F1F"/>
                <w:sz w:val="17"/>
              </w:rPr>
              <w:t xml:space="preserve">  "message": "since is too old to compute an incremental delta safely. Call the Bulk Vendor Pull</w:t>
            </w:r>
          </w:p>
          <w:p>
            <w:pPr>
              <w:spacing w:after="0"/>
            </w:pPr>
            <w:r>
              <w:rPr>
                <w:rFonts w:ascii="Consolas" w:hAnsi="Consolas"/>
                <w:color w:val="1F1F1F"/>
                <w:sz w:val="17"/>
              </w:rPr>
              <w:t xml:space="preserve">              endpoint (Section 3.G) instead, then resume incremental polling from its response time."</w:t>
            </w:r>
          </w:p>
          <w:p>
            <w:pPr>
              <w:spacing w:after="0"/>
            </w:pPr>
            <w:r>
              <w:rPr>
                <w:rFonts w:ascii="Consolas" w:hAnsi="Consolas"/>
                <w:color w:val="1F1F1F"/>
                <w:sz w:val="17"/>
              </w:rPr>
              <w:t>}</w:t>
            </w:r>
          </w:p>
        </w:tc>
      </w:tr>
    </w:tbl>
    <w:p>
      <w:pPr>
        <w:spacing w:after="40"/>
      </w:pPr>
    </w:p>
    <w:p>
      <w:pPr>
        <w:pStyle w:val="Heading1"/>
      </w:pPr>
      <w:r>
        <w:t>4. Core Business Logic</w:t>
      </w:r>
    </w:p>
    <w:p>
      <w:pPr>
        <w:pStyle w:val="Heading3"/>
      </w:pPr>
      <w:r>
        <w:t>A. GRVL Circuit Breaker &amp; Provider Failover</w:t>
      </w:r>
    </w:p>
    <w:p>
      <w:r>
        <w:rPr>
          <w:b w:val="0"/>
          <w:i w:val="0"/>
          <w:color w:val="1F1F1F"/>
        </w:rPr>
        <w:t>The Verification Provider Abstraction Layer isolates aggregator API endpoints behind a circuit breaker so a flaky government registry never becomes a Pramaan outage.</w:t>
      </w:r>
    </w:p>
    <w:tbl>
      <w:tblPr>
        <w:tblW w:type="auto" w:w="0"/>
        <w:jc w:val="left"/>
        <w:tblLook w:firstColumn="1" w:firstRow="1" w:lastColumn="0" w:lastRow="0" w:noHBand="0" w:noVBand="1" w:val="04A0"/>
        <w:tblBorders>
          <w:top w:val="single" w:sz="6" w:space="0" w:color="B0B0B0"/>
          <w:left w:val="single" w:sz="6" w:space="0" w:color="B0B0B0"/>
          <w:bottom w:val="single" w:sz="6" w:space="0" w:color="B0B0B0"/>
          <w:right w:val="single" w:sz="6" w:space="0" w:color="B0B0B0"/>
        </w:tblBorders>
      </w:tblPr>
      <w:tblGrid>
        <w:gridCol w:w="9360"/>
      </w:tblGrid>
      <w:tr>
        <w:tc>
          <w:tcPr>
            <w:tcW w:type="dxa" w:w="9360"/>
            <w:shd w:val="clear" w:color="auto" w:fill="F5F5F5"/>
          </w:tcPr>
          <w:p>
            <w:pPr>
              <w:spacing w:after="0"/>
            </w:pPr>
            <w:r>
              <w:rPr>
                <w:rFonts w:ascii="Consolas" w:hAnsi="Consolas"/>
                <w:color w:val="1F1F1F"/>
                <w:sz w:val="17"/>
              </w:rPr>
              <w:t xml:space="preserve">        Failure threshold exceeded</w:t>
            </w:r>
          </w:p>
          <w:p>
            <w:pPr>
              <w:spacing w:after="0"/>
            </w:pPr>
            <w:r>
              <w:rPr>
                <w:rFonts w:ascii="Consolas" w:hAnsi="Consolas"/>
                <w:color w:val="1F1F1F"/>
                <w:sz w:val="17"/>
              </w:rPr>
              <w:t xml:space="preserve">  CLOSED ─────────────────────────► OPEN</w:t>
            </w:r>
          </w:p>
          <w:p>
            <w:pPr>
              <w:spacing w:after="0"/>
            </w:pPr>
            <w:r>
              <w:rPr>
                <w:rFonts w:ascii="Consolas" w:hAnsi="Consolas"/>
                <w:color w:val="1F1F1F"/>
                <w:sz w:val="17"/>
              </w:rPr>
              <w:t xml:space="preserve">    ▲                                 │</w:t>
            </w:r>
          </w:p>
          <w:p>
            <w:pPr>
              <w:spacing w:after="0"/>
            </w:pPr>
            <w:r>
              <w:rPr>
                <w:rFonts w:ascii="Consolas" w:hAnsi="Consolas"/>
                <w:color w:val="1F1F1F"/>
                <w:sz w:val="17"/>
              </w:rPr>
              <w:t xml:space="preserve">    │        Success threshold met    │ Recovery timer</w:t>
            </w:r>
          </w:p>
          <w:p>
            <w:pPr>
              <w:spacing w:after="0"/>
            </w:pPr>
            <w:r>
              <w:rPr>
                <w:rFonts w:ascii="Consolas" w:hAnsi="Consolas"/>
                <w:color w:val="1F1F1F"/>
                <w:sz w:val="17"/>
              </w:rPr>
              <w:t xml:space="preserve">    └───────────── HALF-OPEN ◄────────┘ expires (10 min)</w:t>
            </w:r>
          </w:p>
        </w:tc>
      </w:tr>
    </w:tbl>
    <w:p>
      <w:pPr>
        <w:spacing w:after="40"/>
      </w:pP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680"/>
        <w:gridCol w:w="4680"/>
      </w:tblGrid>
      <w:tr>
        <w:trPr>
          <w:cantSplit/>
        </w:trPr>
        <w:tc>
          <w:tcPr>
            <w:tcW w:type="dxa" w:w="1872"/>
            <w:shd w:val="clear" w:color="auto" w:fill="1F5C57"/>
          </w:tcPr>
          <w:p>
            <w:pPr>
              <w:spacing w:after="60"/>
            </w:pPr>
            <w:r>
              <w:rPr>
                <w:rFonts w:ascii="Calibri" w:hAnsi="Calibri"/>
                <w:color w:val="1F1F1F"/>
                <w:sz w:val="17"/>
              </w:rPr>
              <w:t>State</w:t>
            </w:r>
          </w:p>
        </w:tc>
        <w:tc>
          <w:tcPr>
            <w:tcW w:type="dxa" w:w="7344"/>
            <w:shd w:val="clear" w:color="auto" w:fill="1F5C57"/>
          </w:tcPr>
          <w:p>
            <w:pPr>
              <w:spacing w:after="60"/>
            </w:pPr>
            <w:r>
              <w:rPr>
                <w:rFonts w:ascii="Calibri" w:hAnsi="Calibri"/>
                <w:color w:val="1F1F1F"/>
                <w:sz w:val="17"/>
              </w:rPr>
              <w:t>Behavior</w:t>
            </w:r>
          </w:p>
        </w:tc>
      </w:tr>
      <w:tr>
        <w:trPr>
          <w:cantSplit/>
        </w:trPr>
        <w:tc>
          <w:tcPr>
            <w:tcW w:type="dxa" w:w="1872"/>
          </w:tcPr>
          <w:p>
            <w:pPr>
              <w:spacing w:after="60"/>
            </w:pPr>
            <w:r>
              <w:rPr>
                <w:rFonts w:ascii="Calibri" w:hAnsi="Calibri"/>
                <w:color w:val="1F1F1F"/>
                <w:sz w:val="17"/>
              </w:rPr>
              <w:t>Closed</w:t>
            </w:r>
          </w:p>
        </w:tc>
        <w:tc>
          <w:tcPr>
            <w:tcW w:type="dxa" w:w="7344"/>
          </w:tcPr>
          <w:p>
            <w:pPr>
              <w:spacing w:after="60"/>
            </w:pPr>
            <w:r>
              <w:rPr>
                <w:rFonts w:ascii="Calibri" w:hAnsi="Calibri"/>
                <w:color w:val="1F1F1F"/>
                <w:sz w:val="17"/>
              </w:rPr>
              <w:t>Primary provider healthy; latency and error rates within baseline SLA.</w:t>
            </w:r>
          </w:p>
        </w:tc>
      </w:tr>
      <w:tr>
        <w:trPr>
          <w:cantSplit/>
        </w:trPr>
        <w:tc>
          <w:tcPr>
            <w:tcW w:type="dxa" w:w="1872"/>
          </w:tcPr>
          <w:p>
            <w:pPr>
              <w:spacing w:after="60"/>
            </w:pPr>
            <w:r>
              <w:rPr>
                <w:rFonts w:ascii="Calibri" w:hAnsi="Calibri"/>
                <w:color w:val="1F1F1F"/>
                <w:sz w:val="17"/>
              </w:rPr>
              <w:t>Open</w:t>
            </w:r>
          </w:p>
        </w:tc>
        <w:tc>
          <w:tcPr>
            <w:tcW w:type="dxa" w:w="7344"/>
          </w:tcPr>
          <w:p>
            <w:pPr>
              <w:spacing w:after="60"/>
            </w:pPr>
            <w:r>
              <w:rPr>
                <w:rFonts w:ascii="Calibri" w:hAnsi="Calibri"/>
                <w:color w:val="1F1F1F"/>
                <w:sz w:val="17"/>
              </w:rPr>
              <w:t>Primary fails 3 consecutive times or times out (&gt;5000ms) — breaker trips, calls route directly to the secondary provider.</w:t>
            </w:r>
          </w:p>
        </w:tc>
      </w:tr>
      <w:tr>
        <w:trPr>
          <w:cantSplit/>
        </w:trPr>
        <w:tc>
          <w:tcPr>
            <w:tcW w:type="dxa" w:w="1872"/>
          </w:tcPr>
          <w:p>
            <w:pPr>
              <w:spacing w:after="60"/>
            </w:pPr>
            <w:r>
              <w:rPr>
                <w:rFonts w:ascii="Calibri" w:hAnsi="Calibri"/>
                <w:color w:val="1F1F1F"/>
                <w:sz w:val="17"/>
              </w:rPr>
              <w:t>Half-Open</w:t>
            </w:r>
          </w:p>
        </w:tc>
        <w:tc>
          <w:tcPr>
            <w:tcW w:type="dxa" w:w="7344"/>
          </w:tcPr>
          <w:p>
            <w:pPr>
              <w:spacing w:after="60"/>
            </w:pPr>
            <w:r>
              <w:rPr>
                <w:rFonts w:ascii="Calibri" w:hAnsi="Calibri"/>
                <w:color w:val="1F1F1F"/>
                <w:sz w:val="17"/>
              </w:rPr>
              <w:t>After a 10-minute cooldown, 5% of check volume (canary) goes to the primary. All pass → resets to Closed. Any fail → trips back to Open for another 15 minutes.</w:t>
            </w:r>
          </w:p>
        </w:tc>
      </w:tr>
    </w:tbl>
    <w:p>
      <w:pPr>
        <w:spacing w:after="40"/>
      </w:pPr>
    </w:p>
    <w:p>
      <w:pPr>
        <w:pStyle w:val="Heading3"/>
      </w:pPr>
      <w:r>
        <w:t>B. Continuous Monitoring &amp; Materiality Rules</w:t>
      </w:r>
    </w:p>
    <w:p>
      <w:r>
        <w:rPr>
          <w:b w:val="0"/>
          <w:i w:val="0"/>
          <w:color w:val="1F1F1F"/>
        </w:rPr>
        <w:t>Changes detected during scheduled registry queries are classified dynamically against a rules table, to avoid buyer alert fatigue:</w:t>
      </w:r>
    </w:p>
    <w:tbl>
      <w:tblPr>
        <w:tblW w:type="auto" w:w="0"/>
        <w:jc w:val="left"/>
        <w:tblLook w:firstColumn="1" w:firstRow="1" w:lastColumn="0" w:lastRow="0" w:noHBand="0" w:noVBand="1" w:val="04A0"/>
        <w:tblBorders>
          <w:top w:val="single" w:sz="6" w:space="0" w:color="B0B0B0"/>
          <w:left w:val="single" w:sz="6" w:space="0" w:color="B0B0B0"/>
          <w:bottom w:val="single" w:sz="6" w:space="0" w:color="B0B0B0"/>
          <w:right w:val="single" w:sz="6" w:space="0" w:color="B0B0B0"/>
        </w:tblBorders>
      </w:tblPr>
      <w:tblGrid>
        <w:gridCol w:w="9360"/>
      </w:tblGrid>
      <w:tr>
        <w:tc>
          <w:tcPr>
            <w:tcW w:type="dxa" w:w="9360"/>
            <w:shd w:val="clear" w:color="auto" w:fill="F5F5F5"/>
          </w:tcPr>
          <w:p>
            <w:pPr>
              <w:spacing w:after="0"/>
            </w:pPr>
            <w:r>
              <w:rPr>
                <w:rFonts w:ascii="Consolas" w:hAnsi="Consolas"/>
                <w:color w:val="1F1F1F"/>
                <w:sz w:val="17"/>
              </w:rPr>
              <w:t>Registry Change Detected  →  Compare to Baseline in Trust Passport  →  Query Materiality Rules</w:t>
            </w:r>
          </w:p>
          <w:p>
            <w:pPr>
              <w:spacing w:after="0"/>
            </w:pPr>
            <w:r>
              <w:rPr>
                <w:rFonts w:ascii="Consolas" w:hAnsi="Consolas"/>
                <w:color w:val="1F1F1F"/>
                <w:sz w:val="17"/>
              </w:rPr>
              <w:t xml:space="preserve">                                                                              │</w:t>
            </w:r>
          </w:p>
          <w:p>
            <w:pPr>
              <w:spacing w:after="0"/>
            </w:pPr>
            <w:r>
              <w:rPr>
                <w:rFonts w:ascii="Consolas" w:hAnsi="Consolas"/>
                <w:color w:val="1F1F1F"/>
                <w:sz w:val="17"/>
              </w:rPr>
              <w:t xml:space="preserve">     Route Alert to Target Role  ←  Generate Alert with Severity  ←  Apply Rules (Criticality Tier)</w:t>
            </w:r>
          </w:p>
        </w:tc>
      </w:tr>
    </w:tbl>
    <w:p>
      <w:pPr>
        <w:spacing w:after="40"/>
      </w:pP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rPr>
          <w:cantSplit/>
        </w:trPr>
        <w:tc>
          <w:tcPr>
            <w:tcW w:type="dxa" w:w="2448"/>
            <w:shd w:val="clear" w:color="auto" w:fill="1F5C57"/>
          </w:tcPr>
          <w:p>
            <w:pPr>
              <w:spacing w:after="60"/>
            </w:pPr>
            <w:r>
              <w:rPr>
                <w:rFonts w:ascii="Calibri" w:hAnsi="Calibri"/>
                <w:color w:val="1F1F1F"/>
                <w:sz w:val="16"/>
              </w:rPr>
              <w:t>Field Changed</w:t>
            </w:r>
          </w:p>
        </w:tc>
        <w:tc>
          <w:tcPr>
            <w:tcW w:type="dxa" w:w="1872"/>
            <w:shd w:val="clear" w:color="auto" w:fill="1F5C57"/>
          </w:tcPr>
          <w:p>
            <w:pPr>
              <w:spacing w:after="60"/>
            </w:pPr>
            <w:r>
              <w:rPr>
                <w:rFonts w:ascii="Calibri" w:hAnsi="Calibri"/>
                <w:color w:val="1F1F1F"/>
                <w:sz w:val="16"/>
              </w:rPr>
              <w:t>Criticality</w:t>
            </w:r>
          </w:p>
        </w:tc>
        <w:tc>
          <w:tcPr>
            <w:tcW w:type="dxa" w:w="1440"/>
            <w:shd w:val="clear" w:color="auto" w:fill="1F5C57"/>
          </w:tcPr>
          <w:p>
            <w:pPr>
              <w:spacing w:after="60"/>
            </w:pPr>
            <w:r>
              <w:rPr>
                <w:rFonts w:ascii="Calibri" w:hAnsi="Calibri"/>
                <w:color w:val="1F1F1F"/>
                <w:sz w:val="16"/>
              </w:rPr>
              <w:t>Severity</w:t>
            </w:r>
          </w:p>
        </w:tc>
        <w:tc>
          <w:tcPr>
            <w:tcW w:type="dxa" w:w="3600"/>
            <w:shd w:val="clear" w:color="auto" w:fill="1F5C57"/>
          </w:tcPr>
          <w:p>
            <w:pPr>
              <w:spacing w:after="60"/>
            </w:pPr>
            <w:r>
              <w:rPr>
                <w:rFonts w:ascii="Calibri" w:hAnsi="Calibri"/>
                <w:color w:val="1F1F1F"/>
                <w:sz w:val="16"/>
              </w:rPr>
              <w:t>Process / Routed To</w:t>
            </w:r>
          </w:p>
        </w:tc>
      </w:tr>
      <w:tr>
        <w:trPr>
          <w:cantSplit/>
        </w:trPr>
        <w:tc>
          <w:tcPr>
            <w:tcW w:type="dxa" w:w="2448"/>
          </w:tcPr>
          <w:p>
            <w:pPr>
              <w:spacing w:after="60"/>
            </w:pPr>
            <w:r>
              <w:rPr>
                <w:rFonts w:ascii="Calibri" w:hAnsi="Calibri"/>
                <w:color w:val="1F1F1F"/>
                <w:sz w:val="16"/>
              </w:rPr>
              <w:t>bank_account_num</w:t>
            </w:r>
          </w:p>
        </w:tc>
        <w:tc>
          <w:tcPr>
            <w:tcW w:type="dxa" w:w="1872"/>
          </w:tcPr>
          <w:p>
            <w:pPr>
              <w:spacing w:after="60"/>
            </w:pPr>
            <w:r>
              <w:rPr>
                <w:rFonts w:ascii="Calibri" w:hAnsi="Calibri"/>
                <w:color w:val="1F1F1F"/>
                <w:sz w:val="16"/>
              </w:rPr>
              <w:t>Any tier</w:t>
            </w:r>
          </w:p>
        </w:tc>
        <w:tc>
          <w:tcPr>
            <w:tcW w:type="dxa" w:w="1440"/>
          </w:tcPr>
          <w:p>
            <w:pPr>
              <w:spacing w:after="60"/>
            </w:pPr>
            <w:r>
              <w:rPr>
                <w:rFonts w:ascii="Calibri" w:hAnsi="Calibri"/>
                <w:color w:val="1F1F1F"/>
                <w:sz w:val="16"/>
              </w:rPr>
              <w:t>CRITICAL</w:t>
            </w:r>
          </w:p>
        </w:tc>
        <w:tc>
          <w:tcPr>
            <w:tcW w:type="dxa" w:w="3600"/>
          </w:tcPr>
          <w:p>
            <w:pPr>
              <w:spacing w:after="60"/>
            </w:pPr>
            <w:r>
              <w:rPr>
                <w:rFonts w:ascii="Calibri" w:hAnsi="Calibri"/>
                <w:color w:val="1F1F1F"/>
                <w:sz w:val="16"/>
              </w:rPr>
              <w:t>Stop payment run immediately; require out-of-band reassessment → Finance</w:t>
            </w:r>
          </w:p>
        </w:tc>
      </w:tr>
      <w:tr>
        <w:trPr>
          <w:cantSplit/>
        </w:trPr>
        <w:tc>
          <w:tcPr>
            <w:tcW w:type="dxa" w:w="2448"/>
          </w:tcPr>
          <w:p>
            <w:pPr>
              <w:spacing w:after="60"/>
            </w:pPr>
            <w:r>
              <w:rPr>
                <w:rFonts w:ascii="Calibri" w:hAnsi="Calibri"/>
                <w:color w:val="1F1F1F"/>
                <w:sz w:val="16"/>
              </w:rPr>
              <w:t>gst_number (suspended)</w:t>
            </w:r>
          </w:p>
        </w:tc>
        <w:tc>
          <w:tcPr>
            <w:tcW w:type="dxa" w:w="1872"/>
          </w:tcPr>
          <w:p>
            <w:pPr>
              <w:spacing w:after="60"/>
            </w:pPr>
            <w:r>
              <w:rPr>
                <w:rFonts w:ascii="Calibri" w:hAnsi="Calibri"/>
                <w:color w:val="1F1F1F"/>
                <w:sz w:val="16"/>
              </w:rPr>
              <w:t>Critical / Significant</w:t>
            </w:r>
          </w:p>
        </w:tc>
        <w:tc>
          <w:tcPr>
            <w:tcW w:type="dxa" w:w="1440"/>
          </w:tcPr>
          <w:p>
            <w:pPr>
              <w:spacing w:after="60"/>
            </w:pPr>
            <w:r>
              <w:rPr>
                <w:rFonts w:ascii="Calibri" w:hAnsi="Calibri"/>
                <w:color w:val="1F1F1F"/>
                <w:sz w:val="16"/>
              </w:rPr>
              <w:t>HIGH</w:t>
            </w:r>
          </w:p>
        </w:tc>
        <w:tc>
          <w:tcPr>
            <w:tcW w:type="dxa" w:w="3600"/>
          </w:tcPr>
          <w:p>
            <w:pPr>
              <w:spacing w:after="60"/>
            </w:pPr>
            <w:r>
              <w:rPr>
                <w:rFonts w:ascii="Calibri" w:hAnsi="Calibri"/>
                <w:color w:val="1F1F1F"/>
                <w:sz w:val="16"/>
              </w:rPr>
              <w:t>Hold GST payouts, prevent tax-credit loss → Finance &amp; Compliance</w:t>
            </w:r>
          </w:p>
        </w:tc>
      </w:tr>
      <w:tr>
        <w:trPr>
          <w:cantSplit/>
        </w:trPr>
        <w:tc>
          <w:tcPr>
            <w:tcW w:type="dxa" w:w="2448"/>
          </w:tcPr>
          <w:p>
            <w:pPr>
              <w:spacing w:after="60"/>
            </w:pPr>
            <w:r>
              <w:rPr>
                <w:rFonts w:ascii="Calibri" w:hAnsi="Calibri"/>
                <w:color w:val="1F1F1F"/>
                <w:sz w:val="16"/>
              </w:rPr>
              <w:t>gst_number (suspended)</w:t>
            </w:r>
          </w:p>
        </w:tc>
        <w:tc>
          <w:tcPr>
            <w:tcW w:type="dxa" w:w="1872"/>
          </w:tcPr>
          <w:p>
            <w:pPr>
              <w:spacing w:after="60"/>
            </w:pPr>
            <w:r>
              <w:rPr>
                <w:rFonts w:ascii="Calibri" w:hAnsi="Calibri"/>
                <w:color w:val="1F1F1F"/>
                <w:sz w:val="16"/>
              </w:rPr>
              <w:t>Non-essential</w:t>
            </w:r>
          </w:p>
        </w:tc>
        <w:tc>
          <w:tcPr>
            <w:tcW w:type="dxa" w:w="1440"/>
          </w:tcPr>
          <w:p>
            <w:pPr>
              <w:spacing w:after="60"/>
            </w:pPr>
            <w:r>
              <w:rPr>
                <w:rFonts w:ascii="Calibri" w:hAnsi="Calibri"/>
                <w:color w:val="1F1F1F"/>
                <w:sz w:val="16"/>
              </w:rPr>
              <w:t>MEDIUM</w:t>
            </w:r>
          </w:p>
        </w:tc>
        <w:tc>
          <w:tcPr>
            <w:tcW w:type="dxa" w:w="3600"/>
          </w:tcPr>
          <w:p>
            <w:pPr>
              <w:spacing w:after="60"/>
            </w:pPr>
            <w:r>
              <w:rPr>
                <w:rFonts w:ascii="Calibri" w:hAnsi="Calibri"/>
                <w:color w:val="1F1F1F"/>
                <w:sz w:val="16"/>
              </w:rPr>
              <w:t>Internal alert, dashboard flag → Procurement</w:t>
            </w:r>
          </w:p>
        </w:tc>
      </w:tr>
      <w:tr>
        <w:trPr>
          <w:cantSplit/>
        </w:trPr>
        <w:tc>
          <w:tcPr>
            <w:tcW w:type="dxa" w:w="2448"/>
          </w:tcPr>
          <w:p>
            <w:pPr>
              <w:spacing w:after="60"/>
            </w:pPr>
            <w:r>
              <w:rPr>
                <w:rFonts w:ascii="Calibri" w:hAnsi="Calibri"/>
                <w:color w:val="1F1F1F"/>
                <w:sz w:val="16"/>
              </w:rPr>
              <w:t>msme_classification</w:t>
            </w:r>
          </w:p>
        </w:tc>
        <w:tc>
          <w:tcPr>
            <w:tcW w:type="dxa" w:w="1872"/>
          </w:tcPr>
          <w:p>
            <w:pPr>
              <w:spacing w:after="60"/>
            </w:pPr>
            <w:r>
              <w:rPr>
                <w:rFonts w:ascii="Calibri" w:hAnsi="Calibri"/>
                <w:color w:val="1F1F1F"/>
                <w:sz w:val="16"/>
              </w:rPr>
              <w:t>Any tier</w:t>
            </w:r>
          </w:p>
        </w:tc>
        <w:tc>
          <w:tcPr>
            <w:tcW w:type="dxa" w:w="1440"/>
          </w:tcPr>
          <w:p>
            <w:pPr>
              <w:spacing w:after="60"/>
            </w:pPr>
            <w:r>
              <w:rPr>
                <w:rFonts w:ascii="Calibri" w:hAnsi="Calibri"/>
                <w:color w:val="1F1F1F"/>
                <w:sz w:val="16"/>
              </w:rPr>
              <w:t>HIGH</w:t>
            </w:r>
          </w:p>
        </w:tc>
        <w:tc>
          <w:tcPr>
            <w:tcW w:type="dxa" w:w="3600"/>
          </w:tcPr>
          <w:p>
            <w:pPr>
              <w:spacing w:after="60"/>
            </w:pPr>
            <w:r>
              <w:rPr>
                <w:rFonts w:ascii="Calibri" w:hAnsi="Calibri"/>
                <w:color w:val="1F1F1F"/>
                <w:sz w:val="16"/>
              </w:rPr>
              <w:t>Reset payment terms in ERP; this is the direct 43B(h) trigger → Finance &amp; Compliance</w:t>
            </w:r>
          </w:p>
        </w:tc>
      </w:tr>
      <w:tr>
        <w:trPr>
          <w:cantSplit/>
        </w:trPr>
        <w:tc>
          <w:tcPr>
            <w:tcW w:type="dxa" w:w="2448"/>
          </w:tcPr>
          <w:p>
            <w:pPr>
              <w:spacing w:after="60"/>
            </w:pPr>
            <w:r>
              <w:rPr>
                <w:rFonts w:ascii="Calibri" w:hAnsi="Calibri"/>
                <w:color w:val="1F1F1F"/>
                <w:sz w:val="16"/>
              </w:rPr>
              <w:t>registered_address</w:t>
            </w:r>
          </w:p>
        </w:tc>
        <w:tc>
          <w:tcPr>
            <w:tcW w:type="dxa" w:w="1872"/>
          </w:tcPr>
          <w:p>
            <w:pPr>
              <w:spacing w:after="60"/>
            </w:pPr>
            <w:r>
              <w:rPr>
                <w:rFonts w:ascii="Calibri" w:hAnsi="Calibri"/>
                <w:color w:val="1F1F1F"/>
                <w:sz w:val="16"/>
              </w:rPr>
              <w:t>Critical</w:t>
            </w:r>
          </w:p>
        </w:tc>
        <w:tc>
          <w:tcPr>
            <w:tcW w:type="dxa" w:w="1440"/>
          </w:tcPr>
          <w:p>
            <w:pPr>
              <w:spacing w:after="60"/>
            </w:pPr>
            <w:r>
              <w:rPr>
                <w:rFonts w:ascii="Calibri" w:hAnsi="Calibri"/>
                <w:color w:val="1F1F1F"/>
                <w:sz w:val="16"/>
              </w:rPr>
              <w:t>MEDIUM</w:t>
            </w:r>
          </w:p>
        </w:tc>
        <w:tc>
          <w:tcPr>
            <w:tcW w:type="dxa" w:w="3600"/>
          </w:tcPr>
          <w:p>
            <w:pPr>
              <w:spacing w:after="60"/>
            </w:pPr>
            <w:r>
              <w:rPr>
                <w:rFonts w:ascii="Calibri" w:hAnsi="Calibri"/>
                <w:color w:val="1F1F1F"/>
                <w:sz w:val="16"/>
              </w:rPr>
              <w:t>Trigger contract review for delivery risk → Legal</w:t>
            </w:r>
          </w:p>
        </w:tc>
      </w:tr>
      <w:tr>
        <w:trPr>
          <w:cantSplit/>
        </w:trPr>
        <w:tc>
          <w:tcPr>
            <w:tcW w:type="dxa" w:w="2448"/>
          </w:tcPr>
          <w:p>
            <w:pPr>
              <w:spacing w:after="60"/>
            </w:pPr>
            <w:r>
              <w:rPr>
                <w:rFonts w:ascii="Calibri" w:hAnsi="Calibri"/>
                <w:color w:val="1F1F1F"/>
                <w:sz w:val="16"/>
              </w:rPr>
              <w:t>registered_address</w:t>
            </w:r>
          </w:p>
        </w:tc>
        <w:tc>
          <w:tcPr>
            <w:tcW w:type="dxa" w:w="1872"/>
          </w:tcPr>
          <w:p>
            <w:pPr>
              <w:spacing w:after="60"/>
            </w:pPr>
            <w:r>
              <w:rPr>
                <w:rFonts w:ascii="Calibri" w:hAnsi="Calibri"/>
                <w:color w:val="1F1F1F"/>
                <w:sz w:val="16"/>
              </w:rPr>
              <w:t>Non-essential</w:t>
            </w:r>
          </w:p>
        </w:tc>
        <w:tc>
          <w:tcPr>
            <w:tcW w:type="dxa" w:w="1440"/>
          </w:tcPr>
          <w:p>
            <w:pPr>
              <w:spacing w:after="60"/>
            </w:pPr>
            <w:r>
              <w:rPr>
                <w:rFonts w:ascii="Calibri" w:hAnsi="Calibri"/>
                <w:color w:val="1F1F1F"/>
                <w:sz w:val="16"/>
              </w:rPr>
              <w:t>LOW</w:t>
            </w:r>
          </w:p>
        </w:tc>
        <w:tc>
          <w:tcPr>
            <w:tcW w:type="dxa" w:w="3600"/>
          </w:tcPr>
          <w:p>
            <w:pPr>
              <w:spacing w:after="60"/>
            </w:pPr>
            <w:r>
              <w:rPr>
                <w:rFonts w:ascii="Calibri" w:hAnsi="Calibri"/>
                <w:color w:val="1F1F1F"/>
                <w:sz w:val="16"/>
              </w:rPr>
              <w:t>Silent update, logged to audit trail → none</w:t>
            </w:r>
          </w:p>
        </w:tc>
      </w:tr>
    </w:tbl>
    <w:p>
      <w:pPr>
        <w:spacing w:after="40"/>
      </w:pPr>
    </w:p>
    <w:p>
      <w:pPr>
        <w:pStyle w:val="Heading3"/>
      </w:pPr>
      <w:r>
        <w:t>C. Section 43B(h) MSME Payment Countdown</w:t>
      </w:r>
    </w:p>
    <w:p>
      <w:r>
        <w:rPr>
          <w:b w:val="0"/>
          <w:i w:val="0"/>
          <w:color w:val="1F1F1F"/>
        </w:rPr>
        <w:t>Every invoice to a verified Micro or Small enterprise (Medium is excluded under 43B(h)) runs a countdown from the invoice date:</w:t>
      </w:r>
    </w:p>
    <w:tbl>
      <w:tblPr>
        <w:tblW w:type="auto" w:w="0"/>
        <w:jc w:val="left"/>
        <w:tblLook w:firstColumn="1" w:firstRow="1" w:lastColumn="0" w:lastRow="0" w:noHBand="0" w:noVBand="1" w:val="04A0"/>
        <w:tblBorders>
          <w:top w:val="single" w:sz="6" w:space="0" w:color="B0B0B0"/>
          <w:left w:val="single" w:sz="6" w:space="0" w:color="B0B0B0"/>
          <w:bottom w:val="single" w:sz="6" w:space="0" w:color="B0B0B0"/>
          <w:right w:val="single" w:sz="6" w:space="0" w:color="B0B0B0"/>
        </w:tblBorders>
      </w:tblPr>
      <w:tblGrid>
        <w:gridCol w:w="9360"/>
      </w:tblGrid>
      <w:tr>
        <w:tc>
          <w:tcPr>
            <w:tcW w:type="dxa" w:w="9360"/>
            <w:shd w:val="clear" w:color="auto" w:fill="F5F5F5"/>
          </w:tcPr>
          <w:p>
            <w:pPr>
              <w:spacing w:after="0"/>
            </w:pPr>
            <w:r>
              <w:rPr>
                <w:rFonts w:ascii="Consolas" w:hAnsi="Consolas"/>
                <w:color w:val="1F1F1F"/>
                <w:sz w:val="17"/>
              </w:rPr>
              <w:t>Days Remaining = 45 − (Current Date − Invoice Date)</w:t>
            </w:r>
          </w:p>
        </w:tc>
      </w:tr>
    </w:tbl>
    <w:p>
      <w:pPr>
        <w:spacing w:after="40"/>
      </w:pPr>
    </w:p>
    <w:p>
      <w:pPr>
        <w:pStyle w:val="ListBullet"/>
        <w:spacing w:after="80"/>
        <w:ind w:left="403"/>
      </w:pPr>
      <w:r>
        <w:rPr>
          <w:color w:val="1F1F1F"/>
        </w:rPr>
        <w:t>Days Remaining ≤ 10 → high-priority push alert to the Compliance Lead and the AP system: “Warning: 43B(h) payment breach in 10 days for Micro Vendor [Vendor Name].”</w:t>
      </w:r>
    </w:p>
    <w:p>
      <w:pPr>
        <w:pStyle w:val="ListBullet"/>
        <w:spacing w:after="80"/>
        <w:ind w:left="403"/>
      </w:pPr>
      <w:r>
        <w:rPr>
          <w:color w:val="1F1F1F"/>
        </w:rPr>
        <w:t>Days Remaining ≤ 0 → invoice is locked out of the normal payment queue and flagged “Section 43B(h) Breached. Pending year-end tax addition.”</w:t>
      </w:r>
    </w:p>
    <w:p>
      <w:pPr>
        <w:pStyle w:val="Heading3"/>
      </w:pPr>
      <w:r>
        <w:t>D. DPDP Consent Lifecycle</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680"/>
        <w:gridCol w:w="4680"/>
      </w:tblGrid>
      <w:tr>
        <w:trPr>
          <w:cantSplit/>
        </w:trPr>
        <w:tc>
          <w:tcPr>
            <w:tcW w:type="dxa" w:w="2448"/>
            <w:shd w:val="clear" w:color="auto" w:fill="1F5C57"/>
          </w:tcPr>
          <w:p>
            <w:pPr>
              <w:spacing w:after="60"/>
            </w:pPr>
            <w:r>
              <w:rPr>
                <w:rFonts w:ascii="Calibri" w:hAnsi="Calibri"/>
                <w:color w:val="1F1F1F"/>
                <w:sz w:val="17"/>
              </w:rPr>
              <w:t>State</w:t>
            </w:r>
          </w:p>
        </w:tc>
        <w:tc>
          <w:tcPr>
            <w:tcW w:type="dxa" w:w="6912"/>
            <w:shd w:val="clear" w:color="auto" w:fill="1F5C57"/>
          </w:tcPr>
          <w:p>
            <w:pPr>
              <w:spacing w:after="60"/>
            </w:pPr>
            <w:r>
              <w:rPr>
                <w:rFonts w:ascii="Calibri" w:hAnsi="Calibri"/>
                <w:color w:val="1F1F1F"/>
                <w:sz w:val="17"/>
              </w:rPr>
              <w:t>What Happens</w:t>
            </w:r>
          </w:p>
        </w:tc>
      </w:tr>
      <w:tr>
        <w:trPr>
          <w:cantSplit/>
        </w:trPr>
        <w:tc>
          <w:tcPr>
            <w:tcW w:type="dxa" w:w="2448"/>
          </w:tcPr>
          <w:p>
            <w:pPr>
              <w:spacing w:after="60"/>
            </w:pPr>
            <w:r>
              <w:rPr>
                <w:rFonts w:ascii="Calibri" w:hAnsi="Calibri"/>
                <w:color w:val="1F1F1F"/>
                <w:sz w:val="17"/>
              </w:rPr>
              <w:t>Active</w:t>
            </w:r>
          </w:p>
        </w:tc>
        <w:tc>
          <w:tcPr>
            <w:tcW w:type="dxa" w:w="6912"/>
          </w:tcPr>
          <w:p>
            <w:pPr>
              <w:spacing w:after="60"/>
            </w:pPr>
            <w:r>
              <w:rPr>
                <w:rFonts w:ascii="Calibri" w:hAnsi="Calibri"/>
                <w:color w:val="1F1F1F"/>
                <w:sz w:val="17"/>
              </w:rPr>
              <w:t>Consent record created at signup; is_withdrawn = FALSE.</w:t>
            </w:r>
          </w:p>
        </w:tc>
      </w:tr>
      <w:tr>
        <w:trPr>
          <w:cantSplit/>
        </w:trPr>
        <w:tc>
          <w:tcPr>
            <w:tcW w:type="dxa" w:w="2448"/>
          </w:tcPr>
          <w:p>
            <w:pPr>
              <w:spacing w:after="60"/>
            </w:pPr>
            <w:r>
              <w:rPr>
                <w:rFonts w:ascii="Calibri" w:hAnsi="Calibri"/>
                <w:color w:val="1F1F1F"/>
                <w:sz w:val="17"/>
              </w:rPr>
              <w:t>Withdrawn (“Right to Erase”)</w:t>
            </w:r>
          </w:p>
        </w:tc>
        <w:tc>
          <w:tcPr>
            <w:tcW w:type="dxa" w:w="6912"/>
          </w:tcPr>
          <w:p>
            <w:pPr>
              <w:spacing w:after="60"/>
            </w:pPr>
            <w:r>
              <w:rPr>
                <w:rFonts w:ascii="Calibri" w:hAnsi="Calibri"/>
                <w:color w:val="1F1F1F"/>
                <w:sz w:val="17"/>
              </w:rPr>
              <w:t>1) consent_records.is_withdrawn = TRUE, withdrawn_at = NOW(). 2) Zero out bank_account_num_encrypted, registered_address, and contact emails on the trust passport. 3) Retain only anonymized fields (legal_name, gst_number, immutable log hashes) to preserve historical tax-audit structures.</w:t>
            </w:r>
          </w:p>
        </w:tc>
      </w:tr>
    </w:tbl>
    <w:p>
      <w:pPr>
        <w:spacing w:after="40"/>
      </w:pPr>
    </w:p>
    <w:p>
      <w:pPr>
        <w:pStyle w:val="Heading1"/>
      </w:pPr>
      <w:r>
        <w:t>5. Authentication, Permissions &amp; RLS</w:t>
      </w:r>
    </w:p>
    <w:p>
      <w:pPr>
        <w:pStyle w:val="Heading3"/>
      </w:pPr>
      <w:r>
        <w:t>Roles &amp; How Each Account Is Created</w:t>
      </w:r>
    </w:p>
    <w:p>
      <w:r>
        <w:rPr>
          <w:b w:val="0"/>
          <w:i w:val="0"/>
          <w:color w:val="1F1F1F"/>
        </w:rPr>
        <w:t>There are exactly three roles. Every login-capable account has exactly one of them, fixed forever at creation (see the users table and its immutability trigger above). No account is ever created with more than one role, and no account is ever converted from one role to another.</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rPr>
          <w:cantSplit/>
        </w:trPr>
        <w:tc>
          <w:tcPr>
            <w:tcW w:type="dxa" w:w="1872"/>
            <w:shd w:val="clear" w:color="auto" w:fill="1F5C57"/>
          </w:tcPr>
          <w:p>
            <w:pPr>
              <w:spacing w:after="60"/>
            </w:pPr>
            <w:r>
              <w:rPr>
                <w:rFonts w:ascii="Calibri" w:hAnsi="Calibri"/>
                <w:color w:val="1F1F1F"/>
                <w:sz w:val="16"/>
              </w:rPr>
              <w:t>Role</w:t>
            </w:r>
          </w:p>
        </w:tc>
        <w:tc>
          <w:tcPr>
            <w:tcW w:type="dxa" w:w="1440"/>
            <w:shd w:val="clear" w:color="auto" w:fill="1F5C57"/>
          </w:tcPr>
          <w:p>
            <w:pPr>
              <w:spacing w:after="60"/>
            </w:pPr>
            <w:r>
              <w:rPr>
                <w:rFonts w:ascii="Calibri" w:hAnsi="Calibri"/>
                <w:color w:val="1F1F1F"/>
                <w:sz w:val="16"/>
              </w:rPr>
              <w:t>Who</w:t>
            </w:r>
          </w:p>
        </w:tc>
        <w:tc>
          <w:tcPr>
            <w:tcW w:type="dxa" w:w="6048"/>
            <w:shd w:val="clear" w:color="auto" w:fill="1F5C57"/>
          </w:tcPr>
          <w:p>
            <w:pPr>
              <w:spacing w:after="60"/>
            </w:pPr>
            <w:r>
              <w:rPr>
                <w:rFonts w:ascii="Calibri" w:hAnsi="Calibri"/>
                <w:color w:val="1F1F1F"/>
                <w:sz w:val="16"/>
              </w:rPr>
              <w:t>How the Account Is Created</w:t>
            </w:r>
          </w:p>
        </w:tc>
      </w:tr>
      <w:tr>
        <w:trPr>
          <w:cantSplit/>
        </w:trPr>
        <w:tc>
          <w:tcPr>
            <w:tcW w:type="dxa" w:w="1872"/>
          </w:tcPr>
          <w:p>
            <w:pPr>
              <w:spacing w:after="60"/>
            </w:pPr>
            <w:r>
              <w:rPr>
                <w:rFonts w:ascii="Calibri" w:hAnsi="Calibri"/>
                <w:color w:val="1F1F1F"/>
                <w:sz w:val="16"/>
              </w:rPr>
              <w:t>VENDOR</w:t>
            </w:r>
          </w:p>
        </w:tc>
        <w:tc>
          <w:tcPr>
            <w:tcW w:type="dxa" w:w="1440"/>
          </w:tcPr>
          <w:p>
            <w:pPr>
              <w:spacing w:after="60"/>
            </w:pPr>
            <w:r>
              <w:rPr>
                <w:rFonts w:ascii="Calibri" w:hAnsi="Calibri"/>
                <w:color w:val="1F1F1F"/>
                <w:sz w:val="16"/>
              </w:rPr>
              <w:t>Ravi</w:t>
            </w:r>
          </w:p>
        </w:tc>
        <w:tc>
          <w:tcPr>
            <w:tcW w:type="dxa" w:w="6048"/>
          </w:tcPr>
          <w:p>
            <w:pPr>
              <w:spacing w:after="60"/>
            </w:pPr>
            <w:r>
              <w:rPr>
                <w:rFonts w:ascii="Calibri" w:hAnsi="Calibri"/>
                <w:color w:val="1F1F1F"/>
                <w:sz w:val="16"/>
              </w:rPr>
              <w:t>Self-registers through the public vendor onboarding portal (POST /v1/vendors/register). Consent is captured in the same step. Exactly one VENDOR account per vendor company.</w:t>
            </w:r>
          </w:p>
        </w:tc>
      </w:tr>
      <w:tr>
        <w:trPr>
          <w:cantSplit/>
        </w:trPr>
        <w:tc>
          <w:tcPr>
            <w:tcW w:type="dxa" w:w="1872"/>
          </w:tcPr>
          <w:p>
            <w:pPr>
              <w:spacing w:after="60"/>
            </w:pPr>
            <w:r>
              <w:rPr>
                <w:rFonts w:ascii="Calibri" w:hAnsi="Calibri"/>
                <w:color w:val="1F1F1F"/>
                <w:sz w:val="16"/>
              </w:rPr>
              <w:t>BUYER_ADMIN</w:t>
            </w:r>
          </w:p>
        </w:tc>
        <w:tc>
          <w:tcPr>
            <w:tcW w:type="dxa" w:w="1440"/>
          </w:tcPr>
          <w:p>
            <w:pPr>
              <w:spacing w:after="60"/>
            </w:pPr>
            <w:r>
              <w:rPr>
                <w:rFonts w:ascii="Calibri" w:hAnsi="Calibri"/>
                <w:color w:val="1F1F1F"/>
                <w:sz w:val="16"/>
              </w:rPr>
              <w:t>Ananya</w:t>
            </w:r>
          </w:p>
        </w:tc>
        <w:tc>
          <w:tcPr>
            <w:tcW w:type="dxa" w:w="6048"/>
          </w:tcPr>
          <w:p>
            <w:pPr>
              <w:spacing w:after="60"/>
            </w:pPr>
            <w:r>
              <w:rPr>
                <w:rFonts w:ascii="Calibri" w:hAnsi="Calibri"/>
                <w:color w:val="1F1F1F"/>
                <w:sz w:val="16"/>
              </w:rPr>
              <w:t>Auto-provisioned as the single root account the moment their company (buyer) is first set up in Pramaan. Not self-service, not invite-based — it is the seed account for that buyer tenant.</w:t>
            </w:r>
          </w:p>
        </w:tc>
      </w:tr>
      <w:tr>
        <w:trPr>
          <w:cantSplit/>
        </w:trPr>
        <w:tc>
          <w:tcPr>
            <w:tcW w:type="dxa" w:w="1872"/>
          </w:tcPr>
          <w:p>
            <w:pPr>
              <w:spacing w:after="60"/>
            </w:pPr>
            <w:r>
              <w:rPr>
                <w:rFonts w:ascii="Calibri" w:hAnsi="Calibri"/>
                <w:color w:val="1F1F1F"/>
                <w:sz w:val="16"/>
              </w:rPr>
              <w:t>COMPLIANCE</w:t>
            </w:r>
          </w:p>
        </w:tc>
        <w:tc>
          <w:tcPr>
            <w:tcW w:type="dxa" w:w="1440"/>
          </w:tcPr>
          <w:p>
            <w:pPr>
              <w:spacing w:after="60"/>
            </w:pPr>
            <w:r>
              <w:rPr>
                <w:rFonts w:ascii="Calibri" w:hAnsi="Calibri"/>
                <w:color w:val="1F1F1F"/>
                <w:sz w:val="16"/>
              </w:rPr>
              <w:t>Priya</w:t>
            </w:r>
          </w:p>
        </w:tc>
        <w:tc>
          <w:tcPr>
            <w:tcW w:type="dxa" w:w="6048"/>
          </w:tcPr>
          <w:p>
            <w:pPr>
              <w:spacing w:after="60"/>
            </w:pPr>
            <w:r>
              <w:rPr>
                <w:rFonts w:ascii="Calibri" w:hAnsi="Calibri"/>
                <w:color w:val="1F1F1F"/>
                <w:sz w:val="16"/>
              </w:rPr>
              <w:t>Invited by her own company's BUYER_ADMIN (POST /v1/buyer-users/invite, admin-only). Cannot self-register. Her account's buyer_id is copied from the inviting admin, so she can never end up scoped to a different buyer tenant.</w:t>
            </w:r>
          </w:p>
        </w:tc>
      </w:tr>
    </w:tbl>
    <w:p>
      <w:pPr>
        <w:spacing w:after="40"/>
      </w:pPr>
    </w:p>
    <w:p>
      <w:pPr>
        <w:pStyle w:val="Heading3"/>
      </w:pPr>
      <w:r>
        <w:t>Login Flow &amp; Role-Locking (No In-Session Role Switching)</w:t>
      </w:r>
    </w:p>
    <w:p>
      <w:r>
        <w:rPr>
          <w:b w:val="0"/>
          <w:i w:val="0"/>
          <w:color w:val="1F1F1F"/>
        </w:rPr>
        <w:t>One shared login screen and one shared login endpoint (POST /v1/auth/login, Section 3) serve all three roles. There is no 'choose your role' step anywhere — the role is read from the account, and the account's role can never change (see the immutability trigger above). Rules that must hold everywhere in the system:</w:t>
      </w:r>
    </w:p>
    <w:p>
      <w:pPr>
        <w:pStyle w:val="ListBullet"/>
        <w:spacing w:after="80"/>
        <w:ind w:left="403"/>
      </w:pPr>
      <w:r>
        <w:rPr>
          <w:color w:val="1F1F1F"/>
        </w:rPr>
        <w:t>The login request contains only email + password (or an SSO handoff) — never a role. The role in the response/JWT comes from the users row, not from anything the client sends.</w:t>
      </w:r>
    </w:p>
    <w:p>
      <w:pPr>
        <w:pStyle w:val="ListBullet"/>
        <w:spacing w:after="80"/>
        <w:ind w:left="403"/>
      </w:pPr>
      <w:r>
        <w:rPr>
          <w:color w:val="1F1F1F"/>
        </w:rPr>
        <w:t>After login, the JWT's role claim (plus buyer_id or vendor_id) determines the ENTIRE navigation tree and screen set the frontend renders. There is no in-app menu, toggle, or settings control that lets a logged-in user switch roles.</w:t>
      </w:r>
    </w:p>
    <w:p>
      <w:pPr>
        <w:pStyle w:val="ListBullet"/>
        <w:spacing w:after="80"/>
        <w:ind w:left="403"/>
      </w:pPr>
      <w:r>
        <w:rPr>
          <w:color w:val="1F1F1F"/>
        </w:rPr>
        <w:t>The backend re-checks the role claim on every single API call via Open Policy Agent (or OpenFGA) — independent of whatever the frontend shows — so a user cannot reach out-of-role data by hitting the API directly, even if they bypass the UI entirely.</w:t>
      </w:r>
    </w:p>
    <w:p>
      <w:pPr>
        <w:pStyle w:val="ListBullet"/>
        <w:spacing w:after="80"/>
        <w:ind w:left="403"/>
      </w:pPr>
      <w:r>
        <w:rPr>
          <w:color w:val="1F1F1F"/>
        </w:rPr>
        <w:t>If someone genuinely needs a different kind of access (e.g. a vendor who is also hired as a compliance consultant for a buyer), that requires a second, entirely separate account under a different email — never a role change on the existing one.</w:t>
      </w:r>
    </w:p>
    <w:p>
      <w:pPr>
        <w:pStyle w:val="ListBullet"/>
        <w:spacing w:after="80"/>
        <w:ind w:left="403"/>
      </w:pPr>
      <w:r>
        <w:rPr>
          <w:color w:val="1F1F1F"/>
        </w:rPr>
        <w:t>Any request whose JWT role claim doesn't match what the endpoint requires returns HTTP 403 Forbidden. The frontend router sends the user back to their own role's home screen; it never silently drops fields to 'fake' a smaller view.</w:t>
      </w:r>
    </w:p>
    <w:p>
      <w:pPr>
        <w:pStyle w:val="Heading3"/>
      </w:pPr>
      <w:r>
        <w:t>Tenant Isolation via Row-Level Security</w:t>
      </w:r>
    </w:p>
    <w:tbl>
      <w:tblPr>
        <w:tblW w:type="auto" w:w="0"/>
        <w:jc w:val="left"/>
        <w:tblLook w:firstColumn="1" w:firstRow="1" w:lastColumn="0" w:lastRow="0" w:noHBand="0" w:noVBand="1" w:val="04A0"/>
        <w:tblBorders>
          <w:top w:val="single" w:sz="6" w:space="0" w:color="B0B0B0"/>
          <w:left w:val="single" w:sz="6" w:space="0" w:color="B0B0B0"/>
          <w:bottom w:val="single" w:sz="6" w:space="0" w:color="B0B0B0"/>
          <w:right w:val="single" w:sz="6" w:space="0" w:color="B0B0B0"/>
        </w:tblBorders>
      </w:tblPr>
      <w:tblGrid>
        <w:gridCol w:w="9360"/>
      </w:tblGrid>
      <w:tr>
        <w:tc>
          <w:tcPr>
            <w:tcW w:type="dxa" w:w="9360"/>
            <w:shd w:val="clear" w:color="auto" w:fill="F5F5F5"/>
          </w:tcPr>
          <w:p>
            <w:pPr>
              <w:spacing w:after="0"/>
            </w:pPr>
            <w:r>
              <w:rPr>
                <w:rFonts w:ascii="Consolas" w:hAnsi="Consolas"/>
                <w:color w:val="1F1F1F"/>
                <w:sz w:val="17"/>
              </w:rPr>
              <w:t>ALTER TABLE buyer_vendor_links ENABLE ROW LEVEL SECURITY;</w:t>
            </w:r>
          </w:p>
          <w:p>
            <w:pPr>
              <w:spacing w:after="0"/>
            </w:pPr>
            <w:r>
              <w:rPr>
                <w:rFonts w:ascii="Consolas" w:hAnsi="Consolas"/>
                <w:color w:val="1F1F1F"/>
                <w:sz w:val="17"/>
              </w:rPr>
              <w:t>ALTER TABLE alerts ENABLE ROW LEVEL SECURITY;</w:t>
            </w:r>
          </w:p>
          <w:p>
            <w:pPr>
              <w:spacing w:after="0"/>
            </w:pPr>
            <w:r>
              <w:rPr>
                <w:rFonts w:ascii="Consolas" w:hAnsi="Consolas"/>
                <w:color w:val="1F1F1F"/>
                <w:sz w:val="17"/>
              </w:rPr>
              <w:t>ALTER TABLE erp_connections ENABLE ROW LEVEL SECURITY;</w:t>
            </w:r>
          </w:p>
          <w:p>
            <w:pPr>
              <w:spacing w:after="0"/>
            </w:pPr>
            <w:r>
              <w:rPr>
                <w:rFonts w:ascii="Consolas" w:hAnsi="Consolas"/>
                <w:color w:val="1F1F1F"/>
                <w:sz w:val="17"/>
              </w:rPr>
              <w:t xml:space="preserve"> </w:t>
            </w:r>
          </w:p>
          <w:p>
            <w:pPr>
              <w:spacing w:after="0"/>
            </w:pPr>
            <w:r>
              <w:rPr>
                <w:rFonts w:ascii="Consolas" w:hAnsi="Consolas"/>
                <w:color w:val="1F1F1F"/>
                <w:sz w:val="17"/>
              </w:rPr>
              <w:t>CREATE POLICY tenant_isolation_policy ON buyer_vendor_links</w:t>
            </w:r>
          </w:p>
          <w:p>
            <w:pPr>
              <w:spacing w:after="0"/>
            </w:pPr>
            <w:r>
              <w:rPr>
                <w:rFonts w:ascii="Consolas" w:hAnsi="Consolas"/>
                <w:color w:val="1F1F1F"/>
                <w:sz w:val="17"/>
              </w:rPr>
              <w:t xml:space="preserve">    FOR ALL</w:t>
            </w:r>
          </w:p>
          <w:p>
            <w:pPr>
              <w:spacing w:after="0"/>
            </w:pPr>
            <w:r>
              <w:rPr>
                <w:rFonts w:ascii="Consolas" w:hAnsi="Consolas"/>
                <w:color w:val="1F1F1F"/>
                <w:sz w:val="17"/>
              </w:rPr>
              <w:t xml:space="preserve">    USING (buyer_id = NULLIF(current_setting('app.current_buyer_id', true), '')::uuid);</w:t>
            </w:r>
          </w:p>
          <w:p>
            <w:pPr>
              <w:spacing w:after="0"/>
            </w:pPr>
            <w:r>
              <w:rPr>
                <w:rFonts w:ascii="Consolas" w:hAnsi="Consolas"/>
                <w:color w:val="1F1F1F"/>
                <w:sz w:val="17"/>
              </w:rPr>
              <w:t xml:space="preserve"> </w:t>
            </w:r>
          </w:p>
          <w:p>
            <w:pPr>
              <w:spacing w:after="0"/>
            </w:pPr>
            <w:r>
              <w:rPr>
                <w:rFonts w:ascii="Consolas" w:hAnsi="Consolas"/>
                <w:color w:val="1F1F1F"/>
                <w:sz w:val="17"/>
              </w:rPr>
              <w:t>CREATE POLICY tenant_alerts_policy ON alerts</w:t>
            </w:r>
          </w:p>
          <w:p>
            <w:pPr>
              <w:spacing w:after="0"/>
            </w:pPr>
            <w:r>
              <w:rPr>
                <w:rFonts w:ascii="Consolas" w:hAnsi="Consolas"/>
                <w:color w:val="1F1F1F"/>
                <w:sz w:val="17"/>
              </w:rPr>
              <w:t xml:space="preserve">    FOR ALL</w:t>
            </w:r>
          </w:p>
          <w:p>
            <w:pPr>
              <w:spacing w:after="0"/>
            </w:pPr>
            <w:r>
              <w:rPr>
                <w:rFonts w:ascii="Consolas" w:hAnsi="Consolas"/>
                <w:color w:val="1F1F1F"/>
                <w:sz w:val="17"/>
              </w:rPr>
              <w:t xml:space="preserve">    USING (buyer_id = NULLIF(current_setting('app.current_buyer_id', true), '')::uuid);</w:t>
            </w:r>
          </w:p>
        </w:tc>
      </w:tr>
    </w:tbl>
    <w:p>
      <w:pPr>
        <w:spacing w:after="40"/>
      </w:pPr>
    </w:p>
    <w:p>
      <w:pPr>
        <w:pStyle w:val="Heading3"/>
      </w:pPr>
      <w:r>
        <w:t>Authentication &amp; Role-Based Access — What Each Role Can See After Login</w:t>
      </w:r>
    </w:p>
    <w:p>
      <w:r>
        <w:rPr>
          <w:b w:val="0"/>
          <w:i w:val="0"/>
          <w:color w:val="1F1F1F"/>
        </w:rPr>
        <w:t>User identity is authenticated via Keycloak/Okta SSO or local credentials, mapped to JWT tokens. Open Policy Agent (or OpenFGA) checks fine-grained permissions before every API execution. Critically: what a role can see is not just what it's shown by default — it is the absolute ceiling of what that account can ever reach, in the UI or the API.</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rPr>
          <w:cantSplit/>
        </w:trPr>
        <w:tc>
          <w:tcPr>
            <w:tcW w:type="dxa" w:w="1872"/>
            <w:shd w:val="clear" w:color="auto" w:fill="1F5C57"/>
          </w:tcPr>
          <w:p>
            <w:pPr>
              <w:spacing w:after="60"/>
            </w:pPr>
            <w:r>
              <w:rPr>
                <w:rFonts w:ascii="Calibri" w:hAnsi="Calibri"/>
                <w:color w:val="1F1F1F"/>
                <w:sz w:val="16"/>
              </w:rPr>
              <w:t>Role</w:t>
            </w:r>
          </w:p>
        </w:tc>
        <w:tc>
          <w:tcPr>
            <w:tcW w:type="dxa" w:w="4176"/>
            <w:shd w:val="clear" w:color="auto" w:fill="1F5C57"/>
          </w:tcPr>
          <w:p>
            <w:pPr>
              <w:spacing w:after="60"/>
            </w:pPr>
            <w:r>
              <w:rPr>
                <w:rFonts w:ascii="Calibri" w:hAnsi="Calibri"/>
                <w:color w:val="1F1F1F"/>
                <w:sz w:val="16"/>
              </w:rPr>
              <w:t>Access After Login</w:t>
            </w:r>
          </w:p>
        </w:tc>
        <w:tc>
          <w:tcPr>
            <w:tcW w:type="dxa" w:w="3312"/>
            <w:shd w:val="clear" w:color="auto" w:fill="1F5C57"/>
          </w:tcPr>
          <w:p>
            <w:pPr>
              <w:spacing w:after="60"/>
            </w:pPr>
            <w:r>
              <w:rPr>
                <w:rFonts w:ascii="Calibri" w:hAnsi="Calibri"/>
                <w:color w:val="1F1F1F"/>
                <w:sz w:val="16"/>
              </w:rPr>
              <w:t>Never Sees</w:t>
            </w:r>
          </w:p>
        </w:tc>
      </w:tr>
      <w:tr>
        <w:trPr>
          <w:cantSplit/>
        </w:trPr>
        <w:tc>
          <w:tcPr>
            <w:tcW w:type="dxa" w:w="1872"/>
          </w:tcPr>
          <w:p>
            <w:pPr>
              <w:spacing w:after="60"/>
            </w:pPr>
            <w:r>
              <w:rPr>
                <w:rFonts w:ascii="Calibri" w:hAnsi="Calibri"/>
                <w:color w:val="1F1F1F"/>
                <w:sz w:val="16"/>
              </w:rPr>
              <w:t>VENDOR (Ravi)</w:t>
            </w:r>
          </w:p>
        </w:tc>
        <w:tc>
          <w:tcPr>
            <w:tcW w:type="dxa" w:w="4176"/>
          </w:tcPr>
          <w:p>
            <w:pPr>
              <w:spacing w:after="60"/>
            </w:pPr>
            <w:r>
              <w:rPr>
                <w:rFonts w:ascii="Calibri" w:hAnsi="Calibri"/>
                <w:color w:val="1F1F1F"/>
                <w:sz w:val="16"/>
              </w:rPr>
              <w:t>Write access to their own Trust Passport and Consent records only.</w:t>
            </w:r>
          </w:p>
        </w:tc>
        <w:tc>
          <w:tcPr>
            <w:tcW w:type="dxa" w:w="3312"/>
          </w:tcPr>
          <w:p>
            <w:pPr>
              <w:spacing w:after="60"/>
            </w:pPr>
            <w:r>
              <w:rPr>
                <w:rFonts w:ascii="Calibri" w:hAnsi="Calibri"/>
                <w:color w:val="1F1F1F"/>
                <w:sz w:val="16"/>
              </w:rPr>
              <w:t>Any other vendor's data. Any buyer's dashboard, alerts, or tenant_overlay_data — even for buyers they're linked to.</w:t>
            </w:r>
          </w:p>
        </w:tc>
      </w:tr>
      <w:tr>
        <w:trPr>
          <w:cantSplit/>
        </w:trPr>
        <w:tc>
          <w:tcPr>
            <w:tcW w:type="dxa" w:w="1872"/>
          </w:tcPr>
          <w:p>
            <w:pPr>
              <w:spacing w:after="60"/>
            </w:pPr>
            <w:r>
              <w:rPr>
                <w:rFonts w:ascii="Calibri" w:hAnsi="Calibri"/>
                <w:color w:val="1F1F1F"/>
                <w:sz w:val="16"/>
              </w:rPr>
              <w:t>BUYER_ADMIN (Ananya)</w:t>
            </w:r>
          </w:p>
        </w:tc>
        <w:tc>
          <w:tcPr>
            <w:tcW w:type="dxa" w:w="4176"/>
          </w:tcPr>
          <w:p>
            <w:pPr>
              <w:spacing w:after="60"/>
            </w:pPr>
            <w:r>
              <w:rPr>
                <w:rFonts w:ascii="Calibri" w:hAnsi="Calibri"/>
                <w:color w:val="1F1F1F"/>
                <w:sz w:val="16"/>
              </w:rPr>
              <w:t>Write access to their own buyer tenant's ERP connection settings and write-back triggers; can invite/manage COMPLIANCE users within their tenant; read-only view of their tenant's vendor list.</w:t>
            </w:r>
          </w:p>
        </w:tc>
        <w:tc>
          <w:tcPr>
            <w:tcW w:type="dxa" w:w="3312"/>
          </w:tcPr>
          <w:p>
            <w:pPr>
              <w:spacing w:after="60"/>
            </w:pPr>
            <w:r>
              <w:rPr>
                <w:rFonts w:ascii="Calibri" w:hAnsi="Calibri"/>
                <w:color w:val="1F1F1F"/>
                <w:sz w:val="16"/>
              </w:rPr>
              <w:t>Any other buyer's tenant data. Vendor raw credentials (bank details are encrypted at rest and not exposed even to admins).</w:t>
            </w:r>
          </w:p>
        </w:tc>
      </w:tr>
      <w:tr>
        <w:trPr>
          <w:cantSplit/>
        </w:trPr>
        <w:tc>
          <w:tcPr>
            <w:tcW w:type="dxa" w:w="1872"/>
          </w:tcPr>
          <w:p>
            <w:pPr>
              <w:spacing w:after="60"/>
            </w:pPr>
            <w:r>
              <w:rPr>
                <w:rFonts w:ascii="Calibri" w:hAnsi="Calibri"/>
                <w:color w:val="1F1F1F"/>
                <w:sz w:val="16"/>
              </w:rPr>
              <w:t>COMPLIANCE (Priya)</w:t>
            </w:r>
          </w:p>
        </w:tc>
        <w:tc>
          <w:tcPr>
            <w:tcW w:type="dxa" w:w="4176"/>
          </w:tcPr>
          <w:p>
            <w:pPr>
              <w:spacing w:after="60"/>
            </w:pPr>
            <w:r>
              <w:rPr>
                <w:rFonts w:ascii="Calibri" w:hAnsi="Calibri"/>
                <w:color w:val="1F1F1F"/>
                <w:sz w:val="16"/>
              </w:rPr>
              <w:t>Write access to Alerts within her own buyer tenant; read access to Passports within her own buyer tenant.</w:t>
            </w:r>
          </w:p>
        </w:tc>
        <w:tc>
          <w:tcPr>
            <w:tcW w:type="dxa" w:w="3312"/>
          </w:tcPr>
          <w:p>
            <w:pPr>
              <w:spacing w:after="60"/>
            </w:pPr>
            <w:r>
              <w:rPr>
                <w:rFonts w:ascii="Calibri" w:hAnsi="Calibri"/>
                <w:color w:val="1F1F1F"/>
                <w:sz w:val="16"/>
              </w:rPr>
              <w:t>Any other buyer's tenant data. ERP connection credentials (that's BUYER_ADMIN-only).</w:t>
            </w:r>
          </w:p>
        </w:tc>
      </w:tr>
    </w:tbl>
    <w:p>
      <w:pPr>
        <w:spacing w:after="40"/>
      </w:pPr>
    </w:p>
    <w:p>
      <w:pPr>
        <w:pStyle w:val="Heading1"/>
      </w:pPr>
      <w:r>
        <w:t>6. Validation, Errors &amp; Edge Cases</w:t>
      </w:r>
    </w:p>
    <w:p>
      <w:pPr>
        <w:pStyle w:val="Heading3"/>
      </w:pPr>
      <w:r>
        <w:t>Format Pre-Validation (Before Any Paid API Call)</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680"/>
        <w:gridCol w:w="4680"/>
      </w:tblGrid>
      <w:tr>
        <w:trPr>
          <w:cantSplit/>
        </w:trPr>
        <w:tc>
          <w:tcPr>
            <w:tcW w:type="dxa" w:w="1728"/>
            <w:shd w:val="clear" w:color="auto" w:fill="1F5C57"/>
          </w:tcPr>
          <w:p>
            <w:pPr>
              <w:spacing w:after="60"/>
            </w:pPr>
            <w:r>
              <w:rPr>
                <w:rFonts w:ascii="Calibri" w:hAnsi="Calibri"/>
                <w:color w:val="1F1F1F"/>
                <w:sz w:val="17"/>
              </w:rPr>
              <w:t>Field</w:t>
            </w:r>
          </w:p>
        </w:tc>
        <w:tc>
          <w:tcPr>
            <w:tcW w:type="dxa" w:w="7632"/>
            <w:shd w:val="clear" w:color="auto" w:fill="1F5C57"/>
          </w:tcPr>
          <w:p>
            <w:pPr>
              <w:spacing w:after="60"/>
            </w:pPr>
            <w:r>
              <w:rPr>
                <w:rFonts w:ascii="Calibri" w:hAnsi="Calibri"/>
                <w:color w:val="1F1F1F"/>
                <w:sz w:val="17"/>
              </w:rPr>
              <w:t>Rule</w:t>
            </w:r>
          </w:p>
        </w:tc>
      </w:tr>
      <w:tr>
        <w:trPr>
          <w:cantSplit/>
        </w:trPr>
        <w:tc>
          <w:tcPr>
            <w:tcW w:type="dxa" w:w="1728"/>
          </w:tcPr>
          <w:p>
            <w:pPr>
              <w:spacing w:after="60"/>
            </w:pPr>
            <w:r>
              <w:rPr>
                <w:rFonts w:ascii="Calibri" w:hAnsi="Calibri"/>
                <w:color w:val="1F1F1F"/>
                <w:sz w:val="17"/>
              </w:rPr>
              <w:t>GSTIN</w:t>
            </w:r>
          </w:p>
        </w:tc>
        <w:tc>
          <w:tcPr>
            <w:tcW w:type="dxa" w:w="7632"/>
          </w:tcPr>
          <w:p>
            <w:pPr>
              <w:spacing w:after="60"/>
            </w:pPr>
            <w:r>
              <w:rPr>
                <w:rFonts w:ascii="Calibri" w:hAnsi="Calibri"/>
                <w:color w:val="1F1F1F"/>
                <w:sz w:val="17"/>
              </w:rPr>
              <w:t>15-char regex: \d{2}[A-Z]{5}\d{4}[A-Z]{1}[A-Z\d]{1}[Z]{1}[A-Z\d]{1}</w:t>
            </w:r>
          </w:p>
        </w:tc>
      </w:tr>
      <w:tr>
        <w:trPr>
          <w:cantSplit/>
        </w:trPr>
        <w:tc>
          <w:tcPr>
            <w:tcW w:type="dxa" w:w="1728"/>
          </w:tcPr>
          <w:p>
            <w:pPr>
              <w:spacing w:after="60"/>
            </w:pPr>
            <w:r>
              <w:rPr>
                <w:rFonts w:ascii="Calibri" w:hAnsi="Calibri"/>
                <w:color w:val="1F1F1F"/>
                <w:sz w:val="17"/>
              </w:rPr>
              <w:t>PAN</w:t>
            </w:r>
          </w:p>
        </w:tc>
        <w:tc>
          <w:tcPr>
            <w:tcW w:type="dxa" w:w="7632"/>
          </w:tcPr>
          <w:p>
            <w:pPr>
              <w:spacing w:after="60"/>
            </w:pPr>
            <w:r>
              <w:rPr>
                <w:rFonts w:ascii="Calibri" w:hAnsi="Calibri"/>
                <w:color w:val="1F1F1F"/>
                <w:sz w:val="17"/>
              </w:rPr>
              <w:t>10-char regex: [A-Z]{5}\d{4}[A-Z]{1}. 4th char validates entity type (P/C/H/F).</w:t>
            </w:r>
          </w:p>
        </w:tc>
      </w:tr>
      <w:tr>
        <w:trPr>
          <w:cantSplit/>
        </w:trPr>
        <w:tc>
          <w:tcPr>
            <w:tcW w:type="dxa" w:w="1728"/>
          </w:tcPr>
          <w:p>
            <w:pPr>
              <w:spacing w:after="60"/>
            </w:pPr>
            <w:r>
              <w:rPr>
                <w:rFonts w:ascii="Calibri" w:hAnsi="Calibri"/>
                <w:color w:val="1F1F1F"/>
                <w:sz w:val="17"/>
              </w:rPr>
              <w:t>IFSC</w:t>
            </w:r>
          </w:p>
        </w:tc>
        <w:tc>
          <w:tcPr>
            <w:tcW w:type="dxa" w:w="7632"/>
          </w:tcPr>
          <w:p>
            <w:pPr>
              <w:spacing w:after="60"/>
            </w:pPr>
            <w:r>
              <w:rPr>
                <w:rFonts w:ascii="Calibri" w:hAnsi="Calibri"/>
                <w:color w:val="1F1F1F"/>
                <w:sz w:val="17"/>
              </w:rPr>
              <w:t>^[A-Z]{4}0[A-Z\d]{6}$, checked against the public RBI routing list.</w:t>
            </w:r>
          </w:p>
        </w:tc>
      </w:tr>
    </w:tbl>
    <w:p>
      <w:pPr>
        <w:spacing w:after="40"/>
      </w:pPr>
    </w:p>
    <w:p>
      <w:pPr>
        <w:pStyle w:val="Heading3"/>
      </w:pPr>
      <w:r>
        <w:t>ERP Write-Back Failures &amp; Idempotency</w:t>
      </w:r>
    </w:p>
    <w:p>
      <w:pPr>
        <w:pStyle w:val="ListBullet"/>
        <w:spacing w:after="80"/>
        <w:ind w:left="403"/>
      </w:pPr>
      <w:r>
        <w:rPr>
          <w:color w:val="1F1F1F"/>
        </w:rPr>
        <w:t>Idempotency key: sha256(vendor_id + field_name + verified_value + verified_at), attached to every outbound transaction.</w:t>
      </w:r>
    </w:p>
    <w:p>
      <w:pPr>
        <w:pStyle w:val="ListBullet"/>
        <w:spacing w:after="80"/>
        <w:ind w:left="403"/>
      </w:pPr>
      <w:r>
        <w:rPr>
          <w:color w:val="1F1F1F"/>
        </w:rPr>
        <w:t>Network timeouts: EIL retries on HTTP 502/503/504 up to 3 times with exponential backoff (2^n × 1000ms).</w:t>
      </w:r>
    </w:p>
    <w:p>
      <w:pPr>
        <w:pStyle w:val="ListBullet"/>
        <w:spacing w:after="80"/>
        <w:ind w:left="403"/>
      </w:pPr>
      <w:r>
        <w:rPr>
          <w:color w:val="1F1F1F"/>
        </w:rPr>
        <w:t>Dead-letter queue (DLQ): a persistent failure or HTTP 400/401 drops the payload into the DLQ, sets erp_connections.connection_status = 'DEGRADED', and raises a high-severity alert for technical analysts.</w:t>
      </w:r>
    </w:p>
    <w:p>
      <w:pPr>
        <w:pStyle w:val="Heading3"/>
      </w:pPr>
      <w:r>
        <w:t>Real-World Edge Cases</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680"/>
        <w:gridCol w:w="4680"/>
      </w:tblGrid>
      <w:tr>
        <w:trPr>
          <w:cantSplit/>
        </w:trPr>
        <w:tc>
          <w:tcPr>
            <w:tcW w:type="dxa" w:w="4032"/>
            <w:shd w:val="clear" w:color="auto" w:fill="1F5C57"/>
          </w:tcPr>
          <w:p>
            <w:pPr>
              <w:spacing w:after="60"/>
            </w:pPr>
            <w:r>
              <w:rPr>
                <w:rFonts w:ascii="Calibri" w:hAnsi="Calibri"/>
                <w:color w:val="1F1F1F"/>
                <w:sz w:val="17"/>
              </w:rPr>
              <w:t>Edge Case</w:t>
            </w:r>
          </w:p>
        </w:tc>
        <w:tc>
          <w:tcPr>
            <w:tcW w:type="dxa" w:w="5328"/>
            <w:shd w:val="clear" w:color="auto" w:fill="1F5C57"/>
          </w:tcPr>
          <w:p>
            <w:pPr>
              <w:spacing w:after="60"/>
            </w:pPr>
            <w:r>
              <w:rPr>
                <w:rFonts w:ascii="Calibri" w:hAnsi="Calibri"/>
                <w:color w:val="1F1F1F"/>
                <w:sz w:val="17"/>
              </w:rPr>
              <w:t>How Pramaan Handles It</w:t>
            </w:r>
          </w:p>
        </w:tc>
      </w:tr>
      <w:tr>
        <w:trPr>
          <w:cantSplit/>
        </w:trPr>
        <w:tc>
          <w:tcPr>
            <w:tcW w:type="dxa" w:w="4032"/>
          </w:tcPr>
          <w:p>
            <w:pPr>
              <w:spacing w:after="60"/>
            </w:pPr>
            <w:r>
              <w:rPr>
                <w:rFonts w:ascii="Calibri" w:hAnsi="Calibri"/>
                <w:color w:val="1F1F1F"/>
                <w:sz w:val="17"/>
              </w:rPr>
              <w:t>A government registry is down for maintenance.</w:t>
            </w:r>
          </w:p>
        </w:tc>
        <w:tc>
          <w:tcPr>
            <w:tcW w:type="dxa" w:w="5328"/>
          </w:tcPr>
          <w:p>
            <w:pPr>
              <w:spacing w:after="60"/>
            </w:pPr>
            <w:r>
              <w:rPr>
                <w:rFonts w:ascii="Calibri" w:hAnsi="Calibri"/>
                <w:color w:val="1F1F1F"/>
                <w:sz w:val="17"/>
              </w:rPr>
              <w:t>The check is queued as “Pending Retry.” Never silently marked unverified, never crashes the app.</w:t>
            </w:r>
          </w:p>
        </w:tc>
      </w:tr>
      <w:tr>
        <w:trPr>
          <w:cantSplit/>
        </w:trPr>
        <w:tc>
          <w:tcPr>
            <w:tcW w:type="dxa" w:w="4032"/>
          </w:tcPr>
          <w:p>
            <w:pPr>
              <w:spacing w:after="60"/>
            </w:pPr>
            <w:r>
              <w:rPr>
                <w:rFonts w:ascii="Calibri" w:hAnsi="Calibri"/>
                <w:color w:val="1F1F1F"/>
                <w:sz w:val="17"/>
              </w:rPr>
              <w:t>A vendor's bank account changes mid-invoice.</w:t>
            </w:r>
          </w:p>
        </w:tc>
        <w:tc>
          <w:tcPr>
            <w:tcW w:type="dxa" w:w="5328"/>
          </w:tcPr>
          <w:p>
            <w:pPr>
              <w:spacing w:after="60"/>
            </w:pPr>
            <w:r>
              <w:rPr>
                <w:rFonts w:ascii="Calibri" w:hAnsi="Calibri"/>
                <w:color w:val="1F1F1F"/>
                <w:sz w:val="17"/>
              </w:rPr>
              <w:t>Every active invoice for that vendor gets an automatic payment hold until Finance clears it by hand.</w:t>
            </w:r>
          </w:p>
        </w:tc>
      </w:tr>
      <w:tr>
        <w:trPr>
          <w:cantSplit/>
        </w:trPr>
        <w:tc>
          <w:tcPr>
            <w:tcW w:type="dxa" w:w="4032"/>
          </w:tcPr>
          <w:p>
            <w:pPr>
              <w:spacing w:after="60"/>
            </w:pPr>
            <w:r>
              <w:rPr>
                <w:rFonts w:ascii="Calibri" w:hAnsi="Calibri"/>
                <w:color w:val="1F1F1F"/>
                <w:sz w:val="17"/>
              </w:rPr>
              <w:t>A vendor withdraws DPDP consent.</w:t>
            </w:r>
          </w:p>
        </w:tc>
        <w:tc>
          <w:tcPr>
            <w:tcW w:type="dxa" w:w="5328"/>
          </w:tcPr>
          <w:p>
            <w:pPr>
              <w:spacing w:after="60"/>
            </w:pPr>
            <w:r>
              <w:rPr>
                <w:rFonts w:ascii="Calibri" w:hAnsi="Calibri"/>
                <w:color w:val="1F1F1F"/>
                <w:sz w:val="17"/>
              </w:rPr>
              <w:t>Their shared profile disconnects from every buyer immediately; the withdrawal is logged permanently.</w:t>
            </w:r>
          </w:p>
        </w:tc>
      </w:tr>
      <w:tr>
        <w:trPr>
          <w:cantSplit/>
        </w:trPr>
        <w:tc>
          <w:tcPr>
            <w:tcW w:type="dxa" w:w="4032"/>
          </w:tcPr>
          <w:p>
            <w:pPr>
              <w:spacing w:after="60"/>
            </w:pPr>
            <w:r>
              <w:rPr>
                <w:rFonts w:ascii="Calibri" w:hAnsi="Calibri"/>
                <w:color w:val="1F1F1F"/>
                <w:sz w:val="17"/>
              </w:rPr>
              <w:t>A vendor goes unchecked for more than 30 days (queue backlog or provider outage).</w:t>
            </w:r>
          </w:p>
        </w:tc>
        <w:tc>
          <w:tcPr>
            <w:tcW w:type="dxa" w:w="5328"/>
          </w:tcPr>
          <w:p>
            <w:pPr>
              <w:spacing w:after="60"/>
            </w:pPr>
            <w:r>
              <w:rPr>
                <w:rFonts w:ascii="Calibri" w:hAnsi="Calibri"/>
                <w:color w:val="1F1F1F"/>
                <w:sz w:val="17"/>
              </w:rPr>
              <w:t>Status downgrades from “Verified” to “Stale,” prompting a manual refresh rather than trusting a stale badge.</w:t>
            </w:r>
          </w:p>
        </w:tc>
      </w:tr>
      <w:tr>
        <w:trPr>
          <w:cantSplit/>
        </w:trPr>
        <w:tc>
          <w:tcPr>
            <w:tcW w:type="dxa" w:w="4032"/>
          </w:tcPr>
          <w:p>
            <w:pPr>
              <w:spacing w:after="60"/>
            </w:pPr>
            <w:r>
              <w:rPr>
                <w:rFonts w:ascii="Calibri" w:hAnsi="Calibri"/>
                <w:color w:val="1F1F1F"/>
                <w:sz w:val="17"/>
              </w:rPr>
              <w:t>A logged-in user tries to open a URL or menu item outside their role (e.g. a VENDOR guessing a compliance-dashboard link).</w:t>
            </w:r>
          </w:p>
        </w:tc>
        <w:tc>
          <w:tcPr>
            <w:tcW w:type="dxa" w:w="5328"/>
          </w:tcPr>
          <w:p>
            <w:pPr>
              <w:spacing w:after="60"/>
            </w:pPr>
            <w:r>
              <w:rPr>
                <w:rFonts w:ascii="Calibri" w:hAnsi="Calibri"/>
                <w:color w:val="1F1F1F"/>
                <w:sz w:val="17"/>
              </w:rPr>
              <w:t>Frontend route guard blocks it and redirects to the user's own role-home screen; the backend independently returns HTTP 403 if the same route is hit directly via the API. Logged to audit_log_entries as an ACCESS_DENIED action.</w:t>
            </w:r>
          </w:p>
        </w:tc>
      </w:tr>
      <w:tr>
        <w:trPr>
          <w:cantSplit/>
        </w:trPr>
        <w:tc>
          <w:tcPr>
            <w:tcW w:type="dxa" w:w="4032"/>
          </w:tcPr>
          <w:p>
            <w:pPr>
              <w:spacing w:after="60"/>
            </w:pPr>
            <w:r>
              <w:rPr>
                <w:rFonts w:ascii="Calibri" w:hAnsi="Calibri"/>
                <w:color w:val="1F1F1F"/>
                <w:sz w:val="17"/>
              </w:rPr>
              <w:t>A BUYER_ADMIN tries to invite a COMPLIANCE user whose email is already registered under a different buyer.</w:t>
            </w:r>
          </w:p>
        </w:tc>
        <w:tc>
          <w:tcPr>
            <w:tcW w:type="dxa" w:w="5328"/>
          </w:tcPr>
          <w:p>
            <w:pPr>
              <w:spacing w:after="60"/>
            </w:pPr>
            <w:r>
              <w:rPr>
                <w:rFonts w:ascii="Calibri" w:hAnsi="Calibri"/>
                <w:color w:val="1F1F1F"/>
                <w:sz w:val="17"/>
              </w:rPr>
              <w:t>Rejected — one email can only ever belong to one account, one buyer tenant, and one role, permanently. The admin is told the email is already in use rather than being allowed to re-scope it.</w:t>
            </w:r>
          </w:p>
        </w:tc>
      </w:tr>
      <w:tr>
        <w:trPr>
          <w:cantSplit/>
        </w:trPr>
        <w:tc>
          <w:tcPr>
            <w:tcW w:type="dxa" w:w="4032"/>
          </w:tcPr>
          <w:p>
            <w:pPr>
              <w:spacing w:after="60"/>
            </w:pPr>
            <w:r>
              <w:rPr>
                <w:rFonts w:ascii="Calibri" w:hAnsi="Calibri"/>
                <w:color w:val="1F1F1F"/>
                <w:sz w:val="17"/>
              </w:rPr>
              <w:t>A user's JWT is tampered with to claim a different role than the account actually has.</w:t>
            </w:r>
          </w:p>
        </w:tc>
        <w:tc>
          <w:tcPr>
            <w:tcW w:type="dxa" w:w="5328"/>
          </w:tcPr>
          <w:p>
            <w:pPr>
              <w:spacing w:after="60"/>
            </w:pPr>
            <w:r>
              <w:rPr>
                <w:rFonts w:ascii="Calibri" w:hAnsi="Calibri"/>
                <w:color w:val="1F1F1F"/>
                <w:sz w:val="17"/>
              </w:rPr>
              <w:t>Signature validation fails server-side; request is rejected with HTTP 401, and the attempt is logged as a HIGH-severity security alert, not silently ignored.</w:t>
            </w:r>
          </w:p>
        </w:tc>
      </w:tr>
      <w:tr>
        <w:trPr>
          <w:cantSplit/>
        </w:trPr>
        <w:tc>
          <w:tcPr>
            <w:tcW w:type="dxa" w:w="4032"/>
          </w:tcPr>
          <w:p>
            <w:pPr>
              <w:spacing w:after="60"/>
            </w:pPr>
            <w:r>
              <w:rPr>
                <w:rFonts w:ascii="Calibri" w:hAnsi="Calibri"/>
                <w:color w:val="1F1F1F"/>
                <w:sz w:val="17"/>
              </w:rPr>
              <w:t>Someone genuinely needs a second kind of access (e.g. a vendor who is also a compliance consultant for a buyer).</w:t>
            </w:r>
          </w:p>
        </w:tc>
        <w:tc>
          <w:tcPr>
            <w:tcW w:type="dxa" w:w="5328"/>
          </w:tcPr>
          <w:p>
            <w:pPr>
              <w:spacing w:after="60"/>
            </w:pPr>
            <w:r>
              <w:rPr>
                <w:rFonts w:ascii="Calibri" w:hAnsi="Calibri"/>
                <w:color w:val="1F1F1F"/>
                <w:sz w:val="17"/>
              </w:rPr>
              <w:t>They register a second, separate account under a different email/role. The product does not support multi-role or role-switching on one account, by design.</w:t>
            </w:r>
          </w:p>
        </w:tc>
      </w:tr>
      <w:tr>
        <w:trPr>
          <w:cantSplit/>
        </w:trPr>
        <w:tc>
          <w:tcPr>
            <w:tcW w:type="dxa" w:w="4032"/>
          </w:tcPr>
          <w:p>
            <w:pPr>
              <w:spacing w:after="60"/>
            </w:pPr>
            <w:r>
              <w:rPr>
                <w:rFonts w:ascii="Calibri" w:hAnsi="Calibri"/>
                <w:color w:val="1F1F1F"/>
                <w:sz w:val="17"/>
              </w:rPr>
              <w:t>A buyer's ERP polls the Incremental Change Feed (Section 3.H) with a since timestamp older than the retention window.</w:t>
            </w:r>
          </w:p>
        </w:tc>
        <w:tc>
          <w:tcPr>
            <w:tcW w:type="dxa" w:w="5328"/>
          </w:tcPr>
          <w:p>
            <w:pPr>
              <w:spacing w:after="60"/>
            </w:pPr>
            <w:r>
              <w:rPr>
                <w:rFonts w:ascii="Calibri" w:hAnsi="Calibri"/>
                <w:color w:val="1F1F1F"/>
                <w:sz w:val="17"/>
              </w:rPr>
              <w:t>Pramaan never returns a partial, misleading delta. It responds with resync_required: true and points the caller back to the Bulk Vendor Pull endpoint (Section 3.G) to re-baseline before resuming incremental polling.</w:t>
            </w:r>
          </w:p>
        </w:tc>
      </w:tr>
      <w:tr>
        <w:trPr>
          <w:cantSplit/>
        </w:trPr>
        <w:tc>
          <w:tcPr>
            <w:tcW w:type="dxa" w:w="4032"/>
          </w:tcPr>
          <w:p>
            <w:pPr>
              <w:spacing w:after="60"/>
            </w:pPr>
            <w:r>
              <w:rPr>
                <w:rFonts w:ascii="Calibri" w:hAnsi="Calibri"/>
                <w:color w:val="1F1F1F"/>
                <w:sz w:val="17"/>
              </w:rPr>
              <w:t>A buyer's ERP requests the Bulk Vendor Pull without a page_size, or asks for an unreasonably large one.</w:t>
            </w:r>
          </w:p>
        </w:tc>
        <w:tc>
          <w:tcPr>
            <w:tcW w:type="dxa" w:w="5328"/>
          </w:tcPr>
          <w:p>
            <w:pPr>
              <w:spacing w:after="60"/>
            </w:pPr>
            <w:r>
              <w:rPr>
                <w:rFonts w:ascii="Calibri" w:hAnsi="Calibri"/>
                <w:color w:val="1F1F1F"/>
                <w:sz w:val="17"/>
              </w:rPr>
              <w:t>The server enforces a default (100) and a hard cap (500) regardless of what's requested — never returns the entire vendor table in a single response, which protects both Pramaan's database and the calling ERP's own memory.</w:t>
            </w:r>
          </w:p>
        </w:tc>
      </w:tr>
    </w:tbl>
    <w:p>
      <w:pPr>
        <w:spacing w:after="40"/>
      </w:pPr>
    </w:p>
    <w:p>
      <w:pPr>
        <w:pStyle w:val="Heading1"/>
      </w:pPr>
      <w:r>
        <w:t>7. Key Technical Decisions</w:t>
      </w:r>
    </w:p>
    <w:p>
      <w:pPr>
        <w:pStyle w:val="ListBullet"/>
        <w:spacing w:after="80"/>
        <w:ind w:left="403"/>
      </w:pPr>
      <w:r>
        <w:rPr>
          <w:color w:val="1F1F1F"/>
        </w:rPr>
        <w:t>PostgreSQL as the relational backbone — chosen specifically for native Row-Level Security (multi-tenant isolation this product cannot work without) plus strong JSONB handling for variable registry payloads.</w:t>
      </w:r>
    </w:p>
    <w:p>
      <w:pPr>
        <w:pStyle w:val="ListBullet"/>
        <w:spacing w:after="80"/>
        <w:ind w:left="403"/>
      </w:pPr>
      <w:r>
        <w:rPr>
          <w:color w:val="1F1F1F"/>
        </w:rPr>
        <w:t>Event-driven cron queuing over real-time registry sync — registry lookups run as async background workers, not live during a user's screen tap, because government registries go down often enough that a live call would make Pramaan's own uptime hostage to theirs.</w:t>
      </w:r>
    </w:p>
    <w:p>
      <w:pPr>
        <w:pStyle w:val="ListBullet"/>
        <w:spacing w:after="80"/>
        <w:ind w:left="403"/>
      </w:pPr>
      <w:r>
        <w:rPr>
          <w:color w:val="1F1F1F"/>
        </w:rPr>
        <w:t>Provider-agnostic abstraction engine — the GRVL layer uses an adapter pattern, so swapping verification providers (e.g. AuthBridge to eKYCNow) is a zero-downtime configuration change, not a rewrite of core verification logic.</w:t>
      </w:r>
    </w:p>
    <w:p>
      <w:pPr>
        <w:pStyle w:val="ListBullet"/>
        <w:spacing w:after="80"/>
        <w:ind w:left="403"/>
      </w:pPr>
      <w:r>
        <w:rPr>
          <w:color w:val="1F1F1F"/>
        </w:rPr>
        <w:t>Role is a permanent, immutable attribute of the account, not a session-level toggle — enforced at the database layer, the same way audit-log immutability is. This is deliberate: the platform never has to reconcile 'what can this session currently do' against 'what can this account ever do' — they are always the same question, which removes an entire class of privilege-escalation bugs before they can exist.</w:t>
      </w:r>
    </w:p>
    <w:p>
      <w:pPr>
        <w:pStyle w:val="ListBullet"/>
        <w:spacing w:after="80"/>
        <w:ind w:left="403"/>
      </w:pPr>
      <w:r>
        <w:rPr>
          <w:color w:val="1F1F1F"/>
        </w:rPr>
        <w:t>Both push AND pull ERP integration, chosen per buyer rather than one-size-fits-all — some buyers' security teams won't allow an external system (Pramaan) to write into their ERP directly, and would rather run their own scheduled pull job; others want the lowest possible latency and are fine granting Pramaan write access. Building both from day one (Sections 3.E/F for push, 3.G/H for pull) avoids a redesign later when the first buyer with a strict firewall policy asks for the option that doesn't yet exist.</w:t>
      </w:r>
    </w:p>
    <w:p>
      <w:pPr>
        <w:pStyle w:val="Heading1"/>
      </w:pPr>
      <w:r>
        <w:t>8. What Is Out of Scope</w:t>
      </w:r>
    </w:p>
    <w:p>
      <w:pPr>
        <w:pStyle w:val="ListBullet"/>
        <w:spacing w:after="80"/>
        <w:ind w:left="403"/>
      </w:pPr>
      <w:r>
        <w:rPr>
          <w:color w:val="1F1F1F"/>
        </w:rPr>
        <w:t>Not a sourcing or bidding tool — no RFI/RFQ/RFP creation, bid optimization, or supplier selection.</w:t>
      </w:r>
    </w:p>
    <w:p>
      <w:pPr>
        <w:pStyle w:val="ListBullet"/>
        <w:spacing w:after="80"/>
        <w:ind w:left="403"/>
      </w:pPr>
      <w:r>
        <w:rPr>
          <w:color w:val="1F1F1F"/>
        </w:rPr>
        <w:t>Not a Contract Lifecycle Management (CLM) tool — negotiation, redlining, and e-signature stay in CLM systems; Pramaan only stores contract metadata.</w:t>
      </w:r>
    </w:p>
    <w:p>
      <w:pPr>
        <w:pStyle w:val="ListBullet"/>
        <w:spacing w:after="80"/>
        <w:ind w:left="403"/>
      </w:pPr>
      <w:r>
        <w:rPr>
          <w:color w:val="1F1F1F"/>
        </w:rPr>
        <w:t>Not a payment processor — Pramaan is compliance-checking software; it never transfers money, processes invoices, or modifies payment runs directly.</w:t>
      </w:r>
    </w:p>
    <w:p>
      <w:pPr>
        <w:pStyle w:val="ListBullet"/>
        <w:spacing w:after="80"/>
        <w:ind w:left="403"/>
      </w:pPr>
      <w:r>
        <w:rPr>
          <w:color w:val="1F1F1F"/>
        </w:rPr>
        <w:t>Not a general cyber risk monitor — no penetration testing or general cybersecurity risk scoring; strictly statutory identity validation.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C1541C"/>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5C57"/>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5C57"/>
      <w:sz w:val="25"/>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Calibri" w:hAnsi="Calibri"/>
      <w:b/>
      <w:bCs/>
      <w:i/>
      <w:iCs/>
      <w:color w:val="1F1F1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