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C1541C"/>
          <w:sz w:val="52"/>
        </w:rPr>
        <w:t>Pramaan — Implementation Plan</w:t>
      </w:r>
    </w:p>
    <w:p>
      <w:pPr>
        <w:spacing w:after="40"/>
      </w:pPr>
      <w:r>
        <w:rPr>
          <w:i/>
          <w:color w:val="555555"/>
          <w:sz w:val="26"/>
        </w:rPr>
        <w:t>Step-by-Step Technical Execution Sequence, Phases 1–9</w:t>
      </w:r>
    </w:p>
    <w:p>
      <w:pPr>
        <w:pBdr>
          <w:bottom w:val="single" w:sz="12" w:space="1" w:color="C1541C"/>
        </w:pBdr>
        <w:spacing w:after="280"/>
      </w:pPr>
    </w:p>
    <w:p>
      <w:r>
        <w:rPr>
          <w:b w:val="0"/>
          <w:i w:val="0"/>
          <w:color w:val="1F1F1F"/>
        </w:rPr>
        <w:t>This plan breaks the build of Pramaan (Vendor Trust Passport) into small, ordered chunks sequenced by technical dependency — build one chunk at a time in Plan Mode, test each against its acceptance criteria before moving to the next. Verify every important user flow end-to-end, including failures and edge cases, not just that the UI works. Give an AI coding assistant the ERD + this plan as context, then implement one chunk at a time.</w:t>
      </w:r>
    </w:p>
    <w:p>
      <w:pPr>
        <w:pStyle w:val="Heading1"/>
      </w:pPr>
      <w:r>
        <w:t>Phase 1: Database Schema &amp; Multi-Tenant Row-Level Security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Core PostgreSQL relational schema (all 11 tables from the ERD, including the new users table).</w:t>
      </w:r>
    </w:p>
    <w:p>
      <w:pPr>
        <w:pStyle w:val="ListBullet"/>
        <w:spacing w:after="80"/>
        <w:ind w:left="403"/>
      </w:pPr>
      <w:r>
        <w:rPr>
          <w:color w:val="1F1F1F"/>
        </w:rPr>
        <w:t>Multi-tenant database isolation via Row-Level Security (RLS) and app-setting bindings.</w:t>
      </w:r>
    </w:p>
    <w:p>
      <w:pPr>
        <w:pStyle w:val="ListBullet"/>
        <w:spacing w:after="80"/>
        <w:ind w:left="403"/>
      </w:pPr>
      <w:r>
        <w:rPr>
          <w:color w:val="1F1F1F"/>
        </w:rPr>
        <w:t>The immutable audit-log trigger (append-only enforcement at the DB layer).</w:t>
      </w:r>
    </w:p>
    <w:p>
      <w:pPr>
        <w:pStyle w:val="ListBullet"/>
        <w:spacing w:after="80"/>
        <w:ind w:left="403"/>
      </w:pPr>
      <w:r>
        <w:rPr>
          <w:color w:val="1F1F1F"/>
        </w:rPr>
        <w:t>The users table plus a role-immutability trigger — once a role (VENDOR / COMPLIANCE / BUYER_ADMIN) is set on a users row at creation, it can never be changed by UPDATE; the only way to get different access is a brand-new account.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prisma/ (or db/migrations)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├── 0001_initial_schema.sql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└── 0002_users_and_roles.sql   -- users table + role-immutability trigger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src/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├── config/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│     └── database.ts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└── middleware/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      ├── tenantContext.ts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      └── roleGuard.ts          -- server-side role-claim check on every request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Migrations for all 11 core tables defined in the ERD, including users (email, role, buyer_id/vendor_id, invited_by_user_id).</w:t>
      </w:r>
    </w:p>
    <w:p>
      <w:pPr>
        <w:pStyle w:val="ListBullet"/>
        <w:spacing w:after="80"/>
        <w:ind w:left="403"/>
      </w:pPr>
      <w:r>
        <w:rPr>
          <w:color w:val="1F1F1F"/>
        </w:rPr>
        <w:t>No external APIs exposed yet — internal service/database utility hooks only.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None. This is the bedrock foundation of the system.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The DB migration runs successfully with no warnings.</w:t>
      </w:r>
    </w:p>
    <w:p>
      <w:pPr>
        <w:pStyle w:val="ListBullet"/>
        <w:spacing w:after="80"/>
        <w:ind w:left="403"/>
      </w:pPr>
      <w:r>
        <w:rPr>
          <w:color w:val="1F1F1F"/>
        </w:rPr>
        <w:t>Inserting then attempting UPDATE/DELETE on audit_log_entries throws a database exception.</w:t>
      </w:r>
    </w:p>
    <w:p>
      <w:pPr>
        <w:pStyle w:val="ListBullet"/>
        <w:spacing w:after="80"/>
        <w:ind w:left="403"/>
      </w:pPr>
      <w:r>
        <w:rPr>
          <w:color w:val="1F1F1F"/>
        </w:rPr>
        <w:t>Querying buyer_vendor_links with app.current_buyer_id set to Buyer A never returns Buyer B's records, even for a shared vendor.</w:t>
      </w:r>
    </w:p>
    <w:p>
      <w:pPr>
        <w:pStyle w:val="ListBullet"/>
        <w:spacing w:after="80"/>
        <w:ind w:left="403"/>
      </w:pPr>
      <w:r>
        <w:rPr>
          <w:color w:val="1F1F1F"/>
        </w:rPr>
        <w:t>Attempting UPDATE users SET role = 'BUYER_ADMIN' on an existing VENDOR-role row throws a database exception, identical in spirit to the audit-log immutability trigger.</w:t>
      </w:r>
    </w:p>
    <w:p>
      <w:pPr>
        <w:pStyle w:val="ListBullet"/>
        <w:spacing w:after="80"/>
        <w:ind w:left="403"/>
      </w:pPr>
      <w:r>
        <w:rPr>
          <w:color w:val="1F1F1F"/>
        </w:rPr>
        <w:t>The users table's CHECK constraint rejects any row where role='VENDOR' but vendor_id is NULL, or role IN ('COMPLIANCE','BUYER_ADMIN') but buyer_id is NULL.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Trigger test: insert a row into audit_log_entries, then attempt an UPDATE on that ID — assert a database error.</w:t>
      </w:r>
    </w:p>
    <w:p>
      <w:pPr>
        <w:pStyle w:val="ListBullet"/>
        <w:spacing w:after="80"/>
        <w:ind w:left="403"/>
      </w:pPr>
      <w:r>
        <w:rPr>
          <w:color w:val="1F1F1F"/>
        </w:rPr>
        <w:t>Role-immutability trigger test: insert a users row with role='VENDOR', then attempt UPDATE users SET role='COMPLIANCE' on that same row — assert a database error, and assert the row's role is still 'VENDOR' afterward.</w:t>
      </w:r>
    </w:p>
    <w:p>
      <w:pPr>
        <w:pStyle w:val="ListBullet"/>
        <w:spacing w:after="80"/>
        <w:ind w:left="403"/>
      </w:pPr>
      <w:r>
        <w:rPr>
          <w:color w:val="1F1F1F"/>
        </w:rPr>
        <w:t>Tenant separation SQL test: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SET LOCAL app.current_buyer_id = 'buyer-a-uuid-1111';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-- Insert test data for Buyer A and Buyer B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-- Verify SELECT COUNT(*) FROM buyer_vendor_links returns only Buyer A's row(s).</w:t>
            </w:r>
          </w:p>
        </w:tc>
      </w:tr>
    </w:tbl>
    <w:p>
      <w:pPr>
        <w:spacing w:after="40"/>
      </w:pPr>
    </w:p>
    <w:p>
      <w:pPr>
        <w:pStyle w:val="Heading1"/>
      </w:pPr>
      <w:r>
        <w:t>Phase 2: Verification Provider Abstraction Layer &amp; Core GRVL Adapters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The VerificationProvider abstraction interface.</w:t>
      </w:r>
    </w:p>
    <w:p>
      <w:pPr>
        <w:pStyle w:val="ListBullet"/>
        <w:spacing w:after="80"/>
        <w:ind w:left="403"/>
      </w:pPr>
      <w:r>
        <w:rPr>
          <w:color w:val="1F1F1F"/>
        </w:rPr>
        <w:t>Aggregator adapters (hybrid approach: eKYCNow / Deepvue) using the adapter pattern.</w:t>
      </w:r>
    </w:p>
    <w:p>
      <w:pPr>
        <w:pStyle w:val="ListBullet"/>
        <w:spacing w:after="80"/>
        <w:ind w:left="403"/>
      </w:pPr>
      <w:r>
        <w:rPr>
          <w:color w:val="1F1F1F"/>
        </w:rPr>
        <w:t>Resilience4j-style circuit-breaker logic for failover.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/backend/src/services/verification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VerificationProvider.ts        -- Abstraction interface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adapters/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├── AggregatorAdapter.ts     -- Primary eKYCNow/Deepvue client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│     └── BackupAdapter.ts         -- Failover AuthBridge client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CircuitBreaker.ts              -- Custom failover wrapper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index.ts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Updates to verification_records and trust_passports (last-verified timestamps).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 1 database layer must be ready.</w:t>
      </w:r>
    </w:p>
    <w:p>
      <w:pPr>
        <w:pStyle w:val="ListBullet"/>
        <w:spacing w:after="80"/>
        <w:ind w:left="403"/>
      </w:pPr>
      <w:r>
        <w:rPr>
          <w:color w:val="1F1F1F"/>
        </w:rPr>
        <w:t>External sandbox credentials for aggregator API providers.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Calling verifyGSTIN("27AAAAA1111A1Z1") returns normalized data from the primary provider.</w:t>
      </w:r>
    </w:p>
    <w:p>
      <w:pPr>
        <w:pStyle w:val="ListBullet"/>
        <w:spacing w:after="80"/>
        <w:ind w:left="403"/>
      </w:pPr>
      <w:r>
        <w:rPr>
          <w:color w:val="1F1F1F"/>
        </w:rPr>
        <w:t>Forcing the primary adapter to return HTTP 500 triggers automatic routing to the secondary provider without an app crash.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Failover injection test: mock the primary client to throw network timeouts, run a verification, and confirm from logs that BackupAdapter was invoked and the resulting record is marked 'VALID'.</w:t>
      </w:r>
    </w:p>
    <w:p>
      <w:pPr>
        <w:pStyle w:val="Heading1"/>
      </w:pPr>
      <w:r>
        <w:t>Phase 3: Role-Locked Login, Signup &amp; Consent Management (Vendor, Buyer-Admin, Compliance)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Vendor self-registration UI workflow (GST, PAN, bank account validation) — creates a users row with role='VENDOR', tied 1:1 to the new vendor_id.</w:t>
      </w:r>
    </w:p>
    <w:p>
      <w:pPr>
        <w:pStyle w:val="ListBullet"/>
        <w:spacing w:after="80"/>
        <w:ind w:left="403"/>
      </w:pPr>
      <w:r>
        <w:rPr>
          <w:color w:val="1F1F1F"/>
        </w:rPr>
        <w:t>Buyer-Admin auto-provisioning: the moment a new buyer (company) is set up in Pramaan, exactly one BUYER_ADMIN account is created for them automatically (e.g. Ananya's). This is not self-service and not invite-based — it's the seed account for that buyer tenant.</w:t>
      </w:r>
    </w:p>
    <w:p>
      <w:pPr>
        <w:pStyle w:val="ListBullet"/>
        <w:spacing w:after="80"/>
        <w:ind w:left="403"/>
      </w:pPr>
      <w:r>
        <w:rPr>
          <w:color w:val="1F1F1F"/>
        </w:rPr>
        <w:t>Compliance-analyst invite flow: a BUYER_ADMIN (Ananya) invites a named colleague (e.g. Priya) by email; the invitee sets their password/SSO on first login; the new account is created with role='COMPLIANCE', locked to the inviting admin's buyer_id.</w:t>
      </w:r>
    </w:p>
    <w:p>
      <w:pPr>
        <w:pStyle w:val="ListBullet"/>
        <w:spacing w:after="80"/>
        <w:ind w:left="403"/>
      </w:pPr>
      <w:r>
        <w:rPr>
          <w:color w:val="1F1F1F"/>
        </w:rPr>
        <w:t>One single, shared login screen and one login endpoint for all three roles — there is no 'choose your role' control anywhere. The role shown after login comes from the account, never from a selection the user makes.</w:t>
      </w:r>
    </w:p>
    <w:p>
      <w:pPr>
        <w:pStyle w:val="ListBullet"/>
        <w:spacing w:after="80"/>
        <w:ind w:left="403"/>
      </w:pPr>
      <w:r>
        <w:rPr>
          <w:color w:val="1F1F1F"/>
        </w:rPr>
        <w:t>Frontend role route guard: renders a completely different navigation tree/screen set per role, and blocks — with a 403 page, not a silent redirect that hides the fact something was blocked — any attempt to reach a URL outside the logged-in user's role, including by direct link.</w:t>
      </w:r>
    </w:p>
    <w:p>
      <w:pPr>
        <w:pStyle w:val="ListBullet"/>
        <w:spacing w:after="80"/>
        <w:ind w:left="403"/>
      </w:pPr>
      <w:r>
        <w:rPr>
          <w:color w:val="1F1F1F"/>
        </w:rPr>
        <w:t>Strict DPDP-compliant consent-ledger checkbox and tracking (vendor onboarding).</w:t>
      </w:r>
    </w:p>
    <w:p>
      <w:pPr>
        <w:pStyle w:val="ListBullet"/>
        <w:spacing w:after="80"/>
        <w:ind w:left="403"/>
      </w:pPr>
      <w:r>
        <w:rPr>
          <w:color w:val="1F1F1F"/>
        </w:rPr>
        <w:t>Local regex validation for GSTIN/PAN formatting to minimize wasted API spend.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/frontend/src/components/onboarding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RegistrationForm.tsx            -- Vendor self-registration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ConsentManager.tsx              -- Consent screen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/frontend/src/components/auth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LoginForm.tsx                   -- Single shared login form for all 3 roles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RoleRouteGuard.tsx              -- Blocks navigation outside the logged-in role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InviteComplianceUser.tsx        -- BUYER_ADMIN-only invite screen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/backend/src/routes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vendor.ts                       -- POST /v1/vendors/register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consent.ts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auth.ts                         -- POST /v1/auth/login, POST /v1/buyer-users/invite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Expose POST /v1/vendors/register — inserts rows into vendors, trust_passports, consent_records, AND users (role='VENDOR').</w:t>
      </w:r>
    </w:p>
    <w:p>
      <w:pPr>
        <w:pStyle w:val="ListBullet"/>
        <w:spacing w:after="80"/>
        <w:ind w:left="403"/>
      </w:pPr>
      <w:r>
        <w:rPr>
          <w:color w:val="1F1F1F"/>
        </w:rPr>
        <w:t>Expose POST /v1/auth/login — returns a JWT embedding user_id, role, and buyer_id or vendor_id (whichever applies). Never returns a list of roles to pick from; there is exactly one.</w:t>
      </w:r>
    </w:p>
    <w:p>
      <w:pPr>
        <w:pStyle w:val="ListBullet"/>
        <w:spacing w:after="80"/>
        <w:ind w:left="403"/>
      </w:pPr>
      <w:r>
        <w:rPr>
          <w:color w:val="1F1F1F"/>
        </w:rPr>
        <w:t>Expose POST /v1/buyer-users/invite (BUYER_ADMIN-only) — creates a PENDING_FIRST_LOGIN users row with role='COMPLIANCE', buyer_id copied from the caller's own token.</w:t>
      </w:r>
    </w:p>
    <w:p>
      <w:pPr>
        <w:pStyle w:val="ListBullet"/>
        <w:spacing w:after="80"/>
        <w:ind w:left="403"/>
      </w:pPr>
      <w:r>
        <w:rPr>
          <w:color w:val="1F1F1F"/>
        </w:rPr>
        <w:t>Buyer tenant creation flow auto-inserts the seed BUYER_ADMIN users row — no separate 'admin signup' endpoint exists.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 1's users table and role-immutability trigger.</w:t>
      </w:r>
    </w:p>
    <w:p>
      <w:pPr>
        <w:pStyle w:val="ListBullet"/>
        <w:spacing w:after="80"/>
        <w:ind w:left="403"/>
      </w:pPr>
      <w:r>
        <w:rPr>
          <w:color w:val="1F1F1F"/>
        </w:rPr>
        <w:t>Phase 2's GRVL verification pipeline must be stable.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A vendor cannot submit the registration form unless the DPDP consent box is checked.</w:t>
      </w:r>
    </w:p>
    <w:p>
      <w:pPr>
        <w:pStyle w:val="ListBullet"/>
        <w:spacing w:after="80"/>
        <w:ind w:left="403"/>
      </w:pPr>
      <w:r>
        <w:rPr>
          <w:color w:val="1F1F1F"/>
        </w:rPr>
        <w:t>A poorly formatted GSTIN returns a local HTTP 400 and does NOT trigger the external verification API.</w:t>
      </w:r>
    </w:p>
    <w:p>
      <w:pPr>
        <w:pStyle w:val="ListBullet"/>
        <w:spacing w:after="80"/>
        <w:ind w:left="403"/>
      </w:pPr>
      <w:r>
        <w:rPr>
          <w:color w:val="1F1F1F"/>
        </w:rPr>
        <w:t>Logging in as Priya (COMPLIANCE) never shows a screen, menu item, or API response containing Ravi's (VENDOR) data or another buyer's data.</w:t>
      </w:r>
    </w:p>
    <w:p>
      <w:pPr>
        <w:pStyle w:val="ListBullet"/>
        <w:spacing w:after="80"/>
        <w:ind w:left="403"/>
      </w:pPr>
      <w:r>
        <w:rPr>
          <w:color w:val="1F1F1F"/>
        </w:rPr>
        <w:t>There is no button, menu, or API call anywhere in the product that lets a logged-in user change their own role — switching roles requires logging in with a brand-new, separately-provisioned account.</w:t>
      </w:r>
    </w:p>
    <w:p>
      <w:pPr>
        <w:pStyle w:val="ListBullet"/>
        <w:spacing w:after="80"/>
        <w:ind w:left="403"/>
      </w:pPr>
      <w:r>
        <w:rPr>
          <w:color w:val="1F1F1F"/>
        </w:rPr>
        <w:t>A VENDOR-role JWT used to call a COMPLIANCE-only endpoint (e.g. GET /v1/alerts) returns HTTP 403, never an empty list pretending nothing exists.</w:t>
      </w:r>
    </w:p>
    <w:p>
      <w:pPr>
        <w:pStyle w:val="ListBullet"/>
        <w:spacing w:after="80"/>
        <w:ind w:left="403"/>
      </w:pPr>
      <w:r>
        <w:rPr>
          <w:color w:val="1F1F1F"/>
        </w:rPr>
        <w:t>A BUYER_ADMIN can only invite COMPLIANCE users into their own buyer_id — never another buyer's tenant.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Constraint test: POST /v1/vendors/register with consent_given: false — confirm HTTP 422 Unprocessable Entity.</w:t>
      </w:r>
    </w:p>
    <w:p>
      <w:pPr>
        <w:pStyle w:val="ListBullet"/>
        <w:spacing w:after="80"/>
        <w:ind w:left="403"/>
      </w:pPr>
      <w:r>
        <w:rPr>
          <w:color w:val="1F1F1F"/>
        </w:rPr>
        <w:t>Checksum test: submit an invalid GSTIN (e.g. "ABC") — verify the external provider mock was never called (call count = 0).</w:t>
      </w:r>
    </w:p>
    <w:p>
      <w:pPr>
        <w:pStyle w:val="ListBullet"/>
        <w:spacing w:after="80"/>
        <w:ind w:left="403"/>
      </w:pPr>
      <w:r>
        <w:rPr>
          <w:color w:val="1F1F1F"/>
        </w:rPr>
        <w:t>Role-boundary test: log in as each of the 3 roles in turn and assert the returned navigation/menu payload for each is disjoint — no shared screens beyond a generic account/logout control.</w:t>
      </w:r>
    </w:p>
    <w:p>
      <w:pPr>
        <w:pStyle w:val="ListBullet"/>
        <w:spacing w:after="80"/>
        <w:ind w:left="403"/>
      </w:pPr>
      <w:r>
        <w:rPr>
          <w:color w:val="1F1F1F"/>
        </w:rPr>
        <w:t>Negative-access test: using a valid VENDOR JWT, call a COMPLIANCE/BUYER_ADMIN-only endpoint directly (bypassing the UI) and assert HTTP 403, not HTTP 200 with quietly filtered data.</w:t>
      </w:r>
    </w:p>
    <w:p>
      <w:pPr>
        <w:pStyle w:val="ListBullet"/>
        <w:spacing w:after="80"/>
        <w:ind w:left="403"/>
      </w:pPr>
      <w:r>
        <w:rPr>
          <w:color w:val="1F1F1F"/>
        </w:rPr>
        <w:t>Invite-flow test: BUYER_ADMIN invites a COMPLIANCE user; assert the new account's buyer_id exactly matches the inviter's, and that its role can never be changed after creation (re-uses Phase 1's role-immutability trigger test).</w:t>
      </w:r>
    </w:p>
    <w:p>
      <w:pPr>
        <w:pStyle w:val="Heading1"/>
      </w:pPr>
      <w:r>
        <w:t>Phase 4: Continuous Scheduled Monitoring Engine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The chronologically-triggered CME background worker.</w:t>
      </w:r>
    </w:p>
    <w:p>
      <w:pPr>
        <w:pStyle w:val="ListBullet"/>
        <w:spacing w:after="80"/>
        <w:ind w:left="403"/>
      </w:pPr>
      <w:r>
        <w:rPr>
          <w:color w:val="1F1F1F"/>
        </w:rPr>
        <w:t>The rules-based materiality filter ("changes that matter").</w:t>
      </w:r>
    </w:p>
    <w:p>
      <w:pPr>
        <w:pStyle w:val="ListBullet"/>
        <w:spacing w:after="80"/>
        <w:ind w:left="403"/>
      </w:pPr>
      <w:r>
        <w:rPr>
          <w:color w:val="1F1F1F"/>
        </w:rPr>
        <w:t>The database rules-reference mapping.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/backend/src/jobs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cron.ts                       -- Process runner (schedule driver)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monitoringWorker.ts            -- Loops through trust_passports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/backend/src/services/rules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MaterialityFilter.ts           -- Applies the ERD's rules matrix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Inserts new rows into alerts when severity evaluates above 'LOW'.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Phases 1–3 must be stable.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Simulating a suspended GST status on the mock registry triggers an alert record.</w:t>
      </w:r>
    </w:p>
    <w:p>
      <w:pPr>
        <w:pStyle w:val="ListBullet"/>
        <w:spacing w:after="80"/>
        <w:ind w:left="403"/>
      </w:pPr>
      <w:r>
        <w:rPr>
          <w:color w:val="1F1F1F"/>
        </w:rPr>
        <w:t>An address change on a Non-Essential vendor is logged in verification_records but does NOT generate an active alert.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Materiality simulation test: 1) set up a test vendor classified NON_ESSENTIAL. 2) Patch the mock registry's address field. 3) Run monitoringWorker.ts manually. 4) Assert verification_records has an updated entry but NO row was appended to alerts.</w:t>
      </w:r>
    </w:p>
    <w:p>
      <w:pPr>
        <w:pStyle w:val="Heading1"/>
      </w:pPr>
      <w:r>
        <w:t>Phase 5: Routing Alerts &amp; Append-Only Auditing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Compliance dashboard for retrieving and managing pending alerts.</w:t>
      </w:r>
    </w:p>
    <w:p>
      <w:pPr>
        <w:pStyle w:val="ListBullet"/>
        <w:spacing w:after="80"/>
        <w:ind w:left="403"/>
      </w:pPr>
      <w:r>
        <w:rPr>
          <w:color w:val="1F1F1F"/>
        </w:rPr>
        <w:t>Automated routing engine directing alerts to specific internal roles (Finance vs. Compliance).</w:t>
      </w:r>
    </w:p>
    <w:p>
      <w:pPr>
        <w:pStyle w:val="ListBullet"/>
        <w:spacing w:after="80"/>
        <w:ind w:left="403"/>
      </w:pPr>
      <w:r>
        <w:rPr>
          <w:color w:val="1F1F1F"/>
        </w:rPr>
        <w:t>Unified transactional logging into the immutable audit database.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/backend/src/routes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alerts.ts                      -- GET /v1/alerts, POST /v1/alerts/:id/action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/backend/src/services/audit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AuditLogger.ts                 -- System audit utility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Expose GET /v1/alerts and POST /v1/alerts/{id}/action (actions: HOLD_PAYMENT, REASSESS, RESOLVED).</w:t>
      </w:r>
    </w:p>
    <w:p>
      <w:pPr>
        <w:pStyle w:val="ListBullet"/>
        <w:spacing w:after="80"/>
        <w:ind w:left="403"/>
      </w:pPr>
      <w:r>
        <w:rPr>
          <w:color w:val="1F1F1F"/>
        </w:rPr>
        <w:t>System audit trail written inside the same database transaction as the action.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 4's alerting database must be populated.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A bank-detail-change alert routes exclusively to the FINANCE role.</w:t>
      </w:r>
    </w:p>
    <w:p>
      <w:pPr>
        <w:pStyle w:val="ListBullet"/>
        <w:spacing w:after="80"/>
        <w:ind w:left="403"/>
      </w:pPr>
      <w:r>
        <w:rPr>
          <w:color w:val="1F1F1F"/>
        </w:rPr>
        <w:t>Executing an action on an alert (e.g. resolve) appends a non-deletable entry to audit_log_entries.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Role routing test: create an alert with routed_to_role = 'FINANCE'. A Compliance-scoped GET returns an empty list; a Finance-scoped GET returns the item.</w:t>
      </w:r>
    </w:p>
    <w:p>
      <w:pPr>
        <w:pStyle w:val="Heading1"/>
      </w:pPr>
      <w:r>
        <w:t>Phase 6: Oracle Fusion REST Connector (Push)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Write-back integration worker using Oracle Fusion's native mapping API — this is the PUSH direction only: Pramaan calls Oracle whenever verified data changes.</w:t>
      </w:r>
    </w:p>
    <w:p>
      <w:pPr>
        <w:pStyle w:val="ListBullet"/>
        <w:spacing w:after="80"/>
        <w:ind w:left="403"/>
      </w:pPr>
      <w:r>
        <w:rPr>
          <w:color w:val="1F1F1F"/>
        </w:rPr>
        <w:t>Sync processor ensuring mapped data updates (GST status, bank verification, MSME rating).</w:t>
      </w:r>
    </w:p>
    <w:p>
      <w:pPr>
        <w:pStyle w:val="ListBullet"/>
        <w:spacing w:after="80"/>
        <w:ind w:left="403"/>
      </w:pPr>
      <w:r>
        <w:rPr>
          <w:color w:val="1F1F1F"/>
        </w:rPr>
        <w:t>Idempotency payload checking.</w:t>
      </w:r>
    </w:p>
    <w:p>
      <w:pPr>
        <w:pStyle w:val="ListBullet"/>
        <w:spacing w:after="80"/>
        <w:ind w:left="403"/>
      </w:pPr>
      <w:r>
        <w:rPr>
          <w:color w:val="1F1F1F"/>
        </w:rPr>
        <w:t>Sets erp_connections.sync_direction = 'OUTBOUND' (or 'TWO_WAY' if the buyer also enables Phase 7's pull API) once this connector is live for a buyer.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/backend/src/integrations/oracle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OracleClient.ts                -- REST connection driver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mappingService.ts              -- Maps Pramaan schema to Oracle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SyncQueue.ts                   -- Process queue with retry limits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Updates to erp_connections.connection_status and erp_connections.sync_direction.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Phases 1–5 must be tested and stable.</w:t>
      </w:r>
    </w:p>
    <w:p>
      <w:pPr>
        <w:pStyle w:val="ListBullet"/>
        <w:spacing w:after="80"/>
        <w:ind w:left="403"/>
      </w:pPr>
      <w:r>
        <w:rPr>
          <w:color w:val="1F1F1F"/>
        </w:rPr>
        <w:t>Oracle Fusion cloud environment credentials stored in a security vault.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Pramaan correctly calls Oracle's API with mapped parameters on verified status changes.</w:t>
      </w:r>
    </w:p>
    <w:p>
      <w:pPr>
        <w:pStyle w:val="ListBullet"/>
        <w:spacing w:after="80"/>
        <w:ind w:left="403"/>
      </w:pPr>
      <w:r>
        <w:rPr>
          <w:color w:val="1F1F1F"/>
        </w:rPr>
        <w:t>Submitting the exact same sync batch twice does NOT generate duplicate supplier entries on the ERP sandbox.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Idempotency validation test: submit a verified bank-account-change sync, interrupt the connection midway, re-submit with the same transaction key, and confirm Oracle returns HTTP 200 without creating a redundant record.</w:t>
      </w:r>
    </w:p>
    <w:p>
      <w:pPr>
        <w:pStyle w:val="Heading1"/>
      </w:pPr>
      <w:r>
        <w:t>Phase 7: ERP-Agnostic Pull API — Bulk Vendor Pull &amp; Incremental Change Feed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The pull-side counterpart to Phase 6/8's push connectors, built once and reusable by ANY ERP (Oracle, SAP, or anything else with a scheduler) — a buyer's ERP calls Pramaan on its own schedule instead of Pramaan writing into the ERP. This is NOT Oracle-specific or SAP-specific code; it lives in Pramaan's core API layer, which is why it is its own phase rather than folded into Phase 6 or Phase 8.</w:t>
      </w:r>
    </w:p>
    <w:p>
      <w:pPr>
        <w:pStyle w:val="ListBullet"/>
        <w:spacing w:after="80"/>
        <w:ind w:left="403"/>
      </w:pPr>
      <w:r>
        <w:rPr>
          <w:color w:val="1F1F1F"/>
        </w:rPr>
        <w:t>GET /v1/buyers/{buyer_id}/vendors — the Bulk Vendor Pull endpoint (ERD Section 3.G): paginated, tenant-scoped full listing for first-time sync / re-baseline.</w:t>
      </w:r>
    </w:p>
    <w:p>
      <w:pPr>
        <w:pStyle w:val="ListBullet"/>
        <w:spacing w:after="80"/>
        <w:ind w:left="403"/>
      </w:pPr>
      <w:r>
        <w:rPr>
          <w:color w:val="1F1F1F"/>
        </w:rPr>
        <w:t>GET /v1/buyers/{buyer_id}/vendors/changes — the Incremental Change Feed endpoint (ERD Section 3.H): watermark-cursor-based delta feed (next_since) so a scheduled job only pulls what changed.</w:t>
      </w:r>
    </w:p>
    <w:p>
      <w:pPr>
        <w:pStyle w:val="ListBullet"/>
        <w:spacing w:after="80"/>
        <w:ind w:left="403"/>
      </w:pPr>
      <w:r>
        <w:rPr>
          <w:color w:val="1F1F1F"/>
        </w:rPr>
        <w:t>Server-side page_size enforcement (default 100, hard cap 500) so a misconfigured ERP job can never pull the entire vendor table in one call.</w:t>
      </w:r>
    </w:p>
    <w:p>
      <w:pPr>
        <w:pStyle w:val="ListBullet"/>
        <w:spacing w:after="80"/>
        <w:ind w:left="403"/>
      </w:pPr>
      <w:r>
        <w:rPr>
          <w:color w:val="1F1F1F"/>
        </w:rPr>
        <w:t>resync_required handling: when a caller's since timestamp is older than the retention window, the feed returns resync_required: true and points back to the Bulk Vendor Pull endpoint instead of silently sending a partial delta.</w:t>
      </w:r>
    </w:p>
    <w:p>
      <w:pPr>
        <w:pStyle w:val="ListBullet"/>
        <w:spacing w:after="80"/>
        <w:ind w:left="403"/>
      </w:pPr>
      <w:r>
        <w:rPr>
          <w:color w:val="1F1F1F"/>
        </w:rPr>
        <w:t>erp_connections.last_pull_watermark tracking — stores each buyer's last-used next_since cursor so support staff can see how current a buyer's pull integration is.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/backend/src/routes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erpPull.ts                     -- GET /v1/buyers/:buyer_id/vendors, GET .../vendors/changes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/backend/src/services/erp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VendorPullService.ts           -- Pagination + tenant scoping for bulk pull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ChangeFeedService.ts           -- Watermark cursor logic, retention-window check, resync_required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Expose GET /v1/buyers/{buyer_id}/vendors (bulk, paginated).</w:t>
      </w:r>
    </w:p>
    <w:p>
      <w:pPr>
        <w:pStyle w:val="ListBullet"/>
        <w:spacing w:after="80"/>
        <w:ind w:left="403"/>
      </w:pPr>
      <w:r>
        <w:rPr>
          <w:color w:val="1F1F1F"/>
        </w:rPr>
        <w:t>Expose GET /v1/buyers/{buyer_id}/vendors/changes?since=... (incremental, cursor-based).</w:t>
      </w:r>
    </w:p>
    <w:p>
      <w:pPr>
        <w:pStyle w:val="ListBullet"/>
        <w:spacing w:after="80"/>
        <w:ind w:left="403"/>
      </w:pPr>
      <w:r>
        <w:rPr>
          <w:color w:val="1F1F1F"/>
        </w:rPr>
        <w:t>Updates erp_connections.last_pull_watermark after each successful change-feed call.</w:t>
      </w:r>
    </w:p>
    <w:p>
      <w:pPr>
        <w:pStyle w:val="ListBullet"/>
        <w:spacing w:after="80"/>
        <w:ind w:left="403"/>
      </w:pPr>
      <w:r>
        <w:rPr>
          <w:color w:val="1F1F1F"/>
        </w:rPr>
        <w:t>Sets erp_connections.sync_direction = 'INBOUND' (pull-only) or 'TWO_WAY' (pull + push) depending on what the buyer enables.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 1's RLS/tenant-scoping (same buyer_id isolation guarantee as every other endpoint).</w:t>
      </w:r>
    </w:p>
    <w:p>
      <w:pPr>
        <w:pStyle w:val="ListBullet"/>
        <w:spacing w:after="80"/>
        <w:ind w:left="403"/>
      </w:pPr>
      <w:r>
        <w:rPr>
          <w:color w:val="1F1F1F"/>
        </w:rPr>
        <w:t>Phase 6 is NOT a prerequisite — this phase can be built and shipped to a buyer independently of the Oracle push connector, since it doesn't call out to any specific ERP.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A request for Buyer A's vendors, even with page_size manipulated to a very large number, never returns more than 500 rows and never returns Buyer B's vendors.</w:t>
      </w:r>
    </w:p>
    <w:p>
      <w:pPr>
        <w:pStyle w:val="ListBullet"/>
        <w:spacing w:after="80"/>
        <w:ind w:left="403"/>
      </w:pPr>
      <w:r>
        <w:rPr>
          <w:color w:val="1F1F1F"/>
        </w:rPr>
        <w:t>Calling the change feed with a since older than the retention window returns resync_required: true and an empty changed_vendors list, never a truncated-but-labeled-complete delta.</w:t>
      </w:r>
    </w:p>
    <w:p>
      <w:pPr>
        <w:pStyle w:val="ListBullet"/>
        <w:spacing w:after="80"/>
        <w:ind w:left="403"/>
      </w:pPr>
      <w:r>
        <w:rPr>
          <w:color w:val="1F1F1F"/>
        </w:rPr>
        <w:t>Calling the change feed with a fresh since returns only vendors that changed after that timestamp, plus a next_since cursor to use on the following poll.</w:t>
      </w:r>
    </w:p>
    <w:p>
      <w:pPr>
        <w:pStyle w:val="ListBullet"/>
        <w:spacing w:after="80"/>
        <w:ind w:left="403"/>
      </w:pPr>
      <w:r>
        <w:rPr>
          <w:color w:val="1F1F1F"/>
        </w:rPr>
        <w:t>erp_connections.last_pull_watermark updates after every successful change-feed call and is visible to internal support tooling.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Pagination cap test: request page_size=100000 and assert the response is capped at 500 rows.</w:t>
      </w:r>
    </w:p>
    <w:p>
      <w:pPr>
        <w:pStyle w:val="ListBullet"/>
        <w:spacing w:after="80"/>
        <w:ind w:left="403"/>
      </w:pPr>
      <w:r>
        <w:rPr>
          <w:color w:val="1F1F1F"/>
        </w:rPr>
        <w:t>Tenant isolation test: authenticate as Buyer A's ERP integration credential and confirm Buyer B's vendors never appear, even across multiple pages.</w:t>
      </w:r>
    </w:p>
    <w:p>
      <w:pPr>
        <w:pStyle w:val="ListBullet"/>
        <w:spacing w:after="80"/>
        <w:ind w:left="403"/>
      </w:pPr>
      <w:r>
        <w:rPr>
          <w:color w:val="1F1F1F"/>
        </w:rPr>
        <w:t>Stale-watermark test: call the change feed with a since timestamp older than the configured retention window and assert resync_required: true is returned.</w:t>
      </w:r>
    </w:p>
    <w:p>
      <w:pPr>
        <w:pStyle w:val="ListBullet"/>
        <w:spacing w:after="80"/>
        <w:ind w:left="403"/>
      </w:pPr>
      <w:r>
        <w:rPr>
          <w:color w:val="1F1F1F"/>
        </w:rPr>
        <w:t>Cursor-continuity test: call the change feed twice in sequence, using the first call's next_since as the second call's since, and confirm no vendor changed in that window is missed or duplicated.</w:t>
      </w:r>
    </w:p>
    <w:p>
      <w:pPr>
        <w:pStyle w:val="Heading1"/>
      </w:pPr>
      <w:r>
        <w:t>Phase 8: SAP OData BTP Connector (Push)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SAP master-data sync client using officially supported OData V4 paths — this is the PUSH direction only: Pramaan calls SAP whenever verified data changes.</w:t>
      </w:r>
    </w:p>
    <w:p>
      <w:pPr>
        <w:pStyle w:val="ListBullet"/>
        <w:spacing w:after="80"/>
        <w:ind w:left="403"/>
      </w:pPr>
      <w:r>
        <w:rPr>
          <w:color w:val="1F1F1F"/>
        </w:rPr>
        <w:t>Error logging that captures SAP's own API auditing constraints.</w:t>
      </w:r>
    </w:p>
    <w:p>
      <w:pPr>
        <w:pStyle w:val="ListBullet"/>
        <w:spacing w:after="80"/>
        <w:ind w:left="403"/>
      </w:pPr>
      <w:r>
        <w:rPr>
          <w:color w:val="1F1F1F"/>
        </w:rPr>
        <w:t>Sets erp_connections.sync_direction = 'OUTBOUND' (or 'TWO_WAY' if the buyer also enables Phase 7's pull API) once this connector is live for a buyer.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/backend/src/integrations/sap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SapOdataClient.ts              -- OData wrapper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syncWorker.ts                  -- Batch processing agent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Exposes standard OData metadata outputs mapping to standard /sap/opu schema routes. Updates erp_connections.sync_direction.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SAP sandbox / BTP gateway access.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Pramaan completes a read-only baseline sync pulling the initial supplier master from SAP.</w:t>
      </w:r>
    </w:p>
    <w:p>
      <w:pPr>
        <w:pStyle w:val="ListBullet"/>
        <w:spacing w:after="80"/>
        <w:ind w:left="403"/>
      </w:pPr>
      <w:r>
        <w:rPr>
          <w:color w:val="1F1F1F"/>
        </w:rPr>
        <w:t>All data writes comply with official OData specifications, avoiding gateway rejections.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Schema compliance test: run validation scripts checking exported OData packages against standard SAP API metadata models before any sandbox push.</w:t>
      </w:r>
    </w:p>
    <w:p>
      <w:pPr>
        <w:pStyle w:val="Heading1"/>
      </w:pPr>
      <w:r>
        <w:t>Phase 9: Profile Sharing, Reuse &amp; Reputation Layer</w:t>
      </w:r>
    </w:p>
    <w:p>
      <w:pPr>
        <w:pStyle w:val="Heading4"/>
      </w:pPr>
      <w:r>
        <w:t>What Needs to Be Built</w:t>
      </w:r>
    </w:p>
    <w:p>
      <w:pPr>
        <w:pStyle w:val="ListBullet"/>
        <w:spacing w:after="80"/>
        <w:ind w:left="403"/>
      </w:pPr>
      <w:r>
        <w:rPr>
          <w:color w:val="1F1F1F"/>
        </w:rPr>
        <w:t>Portability engine enabling vendors to securely grant profile access to a second buyer.</w:t>
      </w:r>
    </w:p>
    <w:p>
      <w:pPr>
        <w:pStyle w:val="ListBullet"/>
        <w:spacing w:after="80"/>
        <w:ind w:left="403"/>
      </w:pPr>
      <w:r>
        <w:rPr>
          <w:color w:val="1F1F1F"/>
        </w:rPr>
        <w:t>Compute service calculating the vendor trust/reputation history rating.</w:t>
      </w:r>
    </w:p>
    <w:p>
      <w:pPr>
        <w:pStyle w:val="Heading4"/>
      </w:pPr>
      <w:r>
        <w:t>Files &amp; Modules Involved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>/backend/src/services/network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├── ShareManager.ts                -- Resolves multi-buyer linkages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└── ReputationCalculator.ts        -- Score calculations</w:t>
            </w:r>
          </w:p>
        </w:tc>
      </w:tr>
    </w:tbl>
    <w:p>
      <w:pPr>
        <w:spacing w:after="40"/>
      </w:pPr>
    </w:p>
    <w:p>
      <w:pPr>
        <w:pStyle w:val="Heading4"/>
      </w:pPr>
      <w:r>
        <w:t>Database &amp; API Changes</w:t>
      </w:r>
    </w:p>
    <w:p>
      <w:pPr>
        <w:pStyle w:val="ListBullet"/>
        <w:spacing w:after="80"/>
        <w:ind w:left="403"/>
      </w:pPr>
      <w:r>
        <w:rPr>
          <w:color w:val="1F1F1F"/>
        </w:rPr>
        <w:t>Expose POST /v1/vendors/share (creates buyer_vendor_links linkage records).</w:t>
      </w:r>
    </w:p>
    <w:p>
      <w:pPr>
        <w:pStyle w:val="Heading4"/>
      </w:pPr>
      <w:r>
        <w:t>Dependencies</w:t>
      </w:r>
    </w:p>
    <w:p>
      <w:pPr>
        <w:pStyle w:val="ListBullet"/>
        <w:spacing w:after="80"/>
        <w:ind w:left="403"/>
      </w:pPr>
      <w:r>
        <w:rPr>
          <w:color w:val="1F1F1F"/>
        </w:rPr>
        <w:t>Phases 6–8 (the full push + pull ERP integration layer) must be completely integrated and stable.</w:t>
      </w:r>
    </w:p>
    <w:p>
      <w:pPr>
        <w:pStyle w:val="Heading4"/>
      </w:pPr>
      <w:r>
        <w:t>Acceptance Criteria</w:t>
      </w:r>
    </w:p>
    <w:p>
      <w:pPr>
        <w:pStyle w:val="ListBullet"/>
        <w:spacing w:after="80"/>
        <w:ind w:left="403"/>
      </w:pPr>
      <w:r>
        <w:rPr>
          <w:color w:val="1F1F1F"/>
        </w:rPr>
        <w:t>A registered vendor shares their existing passport profile with Buyer B in a single click, without re-uploading tax/bank details.</w:t>
      </w:r>
    </w:p>
    <w:p>
      <w:pPr>
        <w:pStyle w:val="ListBullet"/>
        <w:spacing w:after="80"/>
        <w:ind w:left="403"/>
      </w:pPr>
      <w:r>
        <w:rPr>
          <w:color w:val="1F1F1F"/>
        </w:rPr>
        <w:t>The vendor's reputation score correctly scales with tenure and successful validation history.</w:t>
      </w:r>
    </w:p>
    <w:p>
      <w:pPr>
        <w:pStyle w:val="Heading4"/>
      </w:pPr>
      <w:r>
        <w:t>How This Chunk Will Be Tested</w:t>
      </w:r>
    </w:p>
    <w:p>
      <w:pPr>
        <w:pStyle w:val="ListBullet"/>
        <w:spacing w:after="80"/>
        <w:ind w:left="403"/>
      </w:pPr>
      <w:r>
        <w:rPr>
          <w:color w:val="1F1F1F"/>
        </w:rPr>
        <w:t>Reuse verification test: create a vendor passport linked to Buyer A, submit a share request to Buyer B's tenant, and verify Buyer B instantly accesses the original validated GST/PAN data without triggering new external provider API fees.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C1541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C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5C5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