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800"/>
      </w:pPr>
      <w:r>
        <w:t xml:space="preserve">Vendor Onboarding</w:t>
      </w:r>
    </w:p>
    <w:p>
      <w:pPr>
        <w:pStyle w:val="Heading1"/>
        <w:spacing w:after="400"/>
      </w:pPr>
      <w:r>
        <w:t xml:space="preserve">The Real Problems We Found</w:t>
      </w:r>
    </w:p>
    <w:p>
      <w:pPr>
        <w:spacing w:after="160" w:line="300"/>
      </w:pPr>
      <w:r>
        <w:rPr>
          <w:b w:val="false"/>
          <w:bCs w:val="false"/>
          <w:i/>
          <w:iCs/>
        </w:rPr>
        <w:t xml:space="preserve">A plain-English summary of everything in the Case Study 3 research folder, updated to include the new interview, survey, and workbook files.</w:t>
      </w:r>
    </w:p>
    <w:p>
      <w:pPr>
        <w:spacing w:after="200"/>
      </w:pPr>
    </w:p>
    <w:p>
      <w:pPr>
        <w:spacing w:after="160" w:line="300"/>
      </w:pPr>
      <w:r>
        <w:rPr>
          <w:b w:val="false"/>
          <w:bCs w:val="false"/>
          <w:i w:val="false"/>
          <w:iCs w:val="false"/>
        </w:rPr>
        <w:t xml:space="preserve">Prepared for: Sachin</w:t>
      </w:r>
    </w:p>
    <w:p>
      <w:pPr>
        <w:spacing w:after="160" w:line="300"/>
      </w:pPr>
      <w:r>
        <w:rPr>
          <w:b w:val="false"/>
          <w:bCs w:val="false"/>
          <w:i w:val="false"/>
          <w:iCs w:val="false"/>
        </w:rPr>
        <w:t xml:space="preserve">Date: August 5, 2026</w:t>
      </w:r>
    </w:p>
    <w:p>
      <w:pPr>
        <w:spacing w:after="400"/>
      </w:pPr>
    </w:p>
    <w:p>
      <w:pPr>
        <w:pStyle w:val="Heading2"/>
        <w:spacing w:after="150" w:before="300"/>
      </w:pPr>
      <w:r>
        <w:t xml:space="preserve">What we looked at</w:t>
      </w:r>
    </w:p>
    <w:p>
      <w:pPr>
        <w:spacing w:after="160" w:line="300"/>
      </w:pPr>
      <w:r>
        <w:rPr>
          <w:b w:val="false"/>
          <w:bCs w:val="false"/>
          <w:i w:val="false"/>
          <w:iCs w:val="false"/>
        </w:rPr>
        <w:t xml:space="preserve">We read every file in the Case Study 3 folder before writing a word of this summary. Nothing here is guessed and nothing is invented. If a fact has no source behind it, we say so instead of making one up.</w:t>
      </w:r>
    </w:p>
    <w:p>
      <w:pPr>
        <w:pStyle w:val="ListParagraph"/>
        <w:numPr>
          <w:ilvl w:val="0"/>
          <w:numId w:val="1"/>
        </w:numPr>
        <w:spacing w:after="100" w:line="300"/>
      </w:pPr>
      <w:r>
        <w:t xml:space="preserve">Week 4 - G6 - CS3.xlsx — the full research workbook: discovery questions, secondary research, competitor analysis, and hypothesis testing from three research teams (called PODs)</w:t>
      </w:r>
    </w:p>
    <w:p>
      <w:pPr>
        <w:pStyle w:val="ListParagraph"/>
        <w:numPr>
          <w:ilvl w:val="0"/>
          <w:numId w:val="1"/>
        </w:numPr>
        <w:spacing w:after="100" w:line="300"/>
      </w:pPr>
      <w:r>
        <w:t xml:space="preserve">Case Study3-Vendor Management.md — the original assignment brief that set up the problem</w:t>
      </w:r>
    </w:p>
    <w:p>
      <w:pPr>
        <w:pStyle w:val="ListParagraph"/>
        <w:numPr>
          <w:ilvl w:val="0"/>
          <w:numId w:val="1"/>
        </w:numPr>
        <w:spacing w:after="100" w:line="300"/>
      </w:pPr>
      <w:r>
        <w:t xml:space="preserve">A Vendor Management System.docx — a background explainer on how vendor management works, written like a story</w:t>
      </w:r>
    </w:p>
    <w:p>
      <w:pPr>
        <w:pStyle w:val="ListParagraph"/>
        <w:numPr>
          <w:ilvl w:val="0"/>
          <w:numId w:val="1"/>
        </w:numPr>
        <w:spacing w:after="100" w:line="300"/>
      </w:pPr>
      <w:r>
        <w:t xml:space="preserve">Phone-interview.docx, and the raw call transcript it was built from — a real interview with a vendor management professional</w:t>
      </w:r>
    </w:p>
    <w:p>
      <w:pPr>
        <w:pStyle w:val="ListParagraph"/>
        <w:numPr>
          <w:ilvl w:val="0"/>
          <w:numId w:val="1"/>
        </w:numPr>
        <w:spacing w:after="100" w:line="300"/>
      </w:pPr>
      <w:r>
        <w:t xml:space="preserve">Vendor Onboarding Feedback Survey (Responses).xlsx, and the matching PDF and CSV — four survey answers from real people working in procurement and finance</w:t>
      </w:r>
    </w:p>
    <w:p>
      <w:pPr>
        <w:pStyle w:val="ListParagraph"/>
        <w:numPr>
          <w:ilvl w:val="0"/>
          <w:numId w:val="1"/>
        </w:numPr>
        <w:spacing w:after="100" w:line="300"/>
      </w:pPr>
      <w:r>
        <w:t xml:space="preserve">Research.xlsx — an earlier, smaller draft of the workbook. We checked it line by line and confirmed everything in it already lives inside the newer Week 4 file, so Week 4 is treated as the single source of truth</w:t>
      </w:r>
    </w:p>
    <w:p>
      <w:r>
        <w:br w:type="page"/>
      </w:r>
    </w:p>
    <w:p>
      <w:pPr>
        <w:pStyle w:val="Heading1"/>
        <w:spacing w:after="200" w:before="400"/>
      </w:pPr>
      <w:r>
        <w:t xml:space="preserve">1. The Problem, in One Breath</w:t>
      </w:r>
    </w:p>
    <w:p>
      <w:pPr>
        <w:spacing w:after="160" w:line="300"/>
      </w:pPr>
      <w:r>
        <w:rPr>
          <w:b w:val="false"/>
          <w:bCs w:val="false"/>
          <w:i w:val="false"/>
          <w:iCs w:val="false"/>
        </w:rPr>
        <w:t xml:space="preserve">Picture a school. To keep it running, the principal needs a lunch supplier, a repair technician, and a company that runs the online classroom. Before any of them can start, the school has to check they are safe, legal, and trustworthy. That checking is called vendor onboarding.</w:t>
      </w:r>
    </w:p>
    <w:p>
      <w:pPr>
        <w:spacing w:after="160" w:line="300"/>
      </w:pPr>
      <w:r>
        <w:rPr>
          <w:b w:val="false"/>
          <w:bCs w:val="false"/>
          <w:i w:val="false"/>
          <w:iCs w:val="false"/>
        </w:rPr>
        <w:t xml:space="preserve">Companies today already own software to pay vendors, sign contracts, and check compliance. Despite that, turning a new vendor into a working vendor still takes 15 to 30 business days. Here is the twist: the actual hands-on work inside that window adds up to less than one full working day.</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The teams are not slow at their jobs. The handoffs between teams are what's slow. Fixing vendor onboarding is a plumbing problem, not a people problem.</w:t>
            </w:r>
          </w:p>
        </w:tc>
      </w:tr>
    </w:tbl>
    <w:p>
      <w:pPr>
        <w:spacing w:after="220" w:before="60"/>
      </w:pPr>
      <w:r>
        <w:rPr>
          <w:b/>
          <w:bCs/>
          <w:color w:val="666666"/>
          <w:sz w:val="18"/>
          <w:szCs w:val="18"/>
        </w:rPr>
        <w:t xml:space="preserve">Source: </w:t>
      </w:r>
      <w:r>
        <w:rPr>
          <w:color w:val="666666"/>
          <w:sz w:val="18"/>
          <w:szCs w:val="18"/>
        </w:rPr>
        <w:t xml:space="preserve">Case Study3-Vendor Management.md (assignment brief); Week 4 workbook, Hypothesis Validation POD 1, per-department review time (Procurement 4h + Finance 3h + Legal 6h + Compliance 2h + Operations 5h ≈ 20 hours of real work against a 15–30 day elapsed cycle).</w:t>
      </w:r>
    </w:p>
    <w:p>
      <w:r>
        <w:br w:type="page"/>
      </w:r>
    </w:p>
    <w:p>
      <w:pPr>
        <w:pStyle w:val="Heading1"/>
        <w:spacing w:after="200" w:before="400"/>
      </w:pPr>
      <w:r>
        <w:t xml:space="preserve">2. Who Feels This Most (The Market Segment)</w:t>
      </w:r>
    </w:p>
    <w:p>
      <w:pPr>
        <w:spacing w:after="160" w:line="300"/>
      </w:pPr>
      <w:r>
        <w:rPr>
          <w:b w:val="false"/>
          <w:bCs w:val="false"/>
          <w:i w:val="false"/>
          <w:iCs w:val="false"/>
        </w:rPr>
        <w:t xml:space="preserve">Not every company hurts the same amount. Three research teams looked at company size, industry, and geography on their own, and they landed on the same answer.</w:t>
      </w:r>
    </w:p>
    <w:p>
      <w:pPr>
        <w:pStyle w:val="Heading2"/>
        <w:spacing w:after="150" w:before="300"/>
      </w:pPr>
      <w:r>
        <w:t xml:space="preserve">2.1 The sweet spot: mid-market companies</w:t>
      </w:r>
    </w:p>
    <w:p>
      <w:pPr>
        <w:spacing w:after="160" w:line="300"/>
      </w:pPr>
      <w:r>
        <w:rPr>
          <w:b w:val="false"/>
          <w:bCs w:val="false"/>
          <w:i w:val="false"/>
          <w:iCs w:val="false"/>
        </w:rPr>
        <w:t xml:space="preserve">Think of three kinds of companies:</w:t>
      </w:r>
    </w:p>
    <w:p>
      <w:pPr>
        <w:pStyle w:val="ListParagraph"/>
        <w:numPr>
          <w:ilvl w:val="0"/>
          <w:numId w:val="1"/>
        </w:numPr>
        <w:spacing w:after="100" w:line="300"/>
      </w:pPr>
      <w:r>
        <w:t xml:space="preserve">Small companies can just wing it. One person emails a vendor, everyone trusts everyone, and nothing breaks badly enough to matter yet.</w:t>
      </w:r>
    </w:p>
    <w:p>
      <w:pPr>
        <w:pStyle w:val="ListParagraph"/>
        <w:numPr>
          <w:ilvl w:val="0"/>
          <w:numId w:val="1"/>
        </w:numPr>
        <w:spacing w:after="100" w:line="300"/>
      </w:pPr>
      <w:r>
        <w:t xml:space="preserve">Large enterprises (the Global 2000) already pay millions of dollars a year for tools like SAP Ariba or Coupa. Those tools are slow and clunky, but a big company can afford a team to babysit them.</w:t>
      </w:r>
    </w:p>
    <w:p>
      <w:pPr>
        <w:pStyle w:val="ListParagraph"/>
        <w:numPr>
          <w:ilvl w:val="0"/>
          <w:numId w:val="1"/>
        </w:numPr>
        <w:spacing w:after="100" w:line="300"/>
      </w:pPr>
      <w:r>
        <w:t xml:space="preserve">Mid-market companies are stuck in the middle. They are big enough to have real process, real risk, and real compliance rules, but not big enough to have a dedicated team to run it. This is where the pain is sharpest.</w:t>
      </w:r>
    </w:p>
    <w:p>
      <w:pPr>
        <w:spacing w:after="160" w:line="300"/>
      </w:pPr>
      <w:r>
        <w:rPr>
          <w:b w:val="false"/>
          <w:bCs w:val="false"/>
          <w:i w:val="false"/>
          <w:iCs w:val="false"/>
        </w:rPr>
        <w:t xml:space="preserve">The research puts a number on "mid-market": roughly 100 to 1,000 employees, and roughly $50 million to $1 billion in yearly revenue.</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Large enterprises already have a bad-but-working answer. Small companies don't feel enough pain yet to pay for a fix. Mid-market companies feel the pain the most and have the least help. That is who to build for first.</w:t>
            </w:r>
          </w:p>
        </w:tc>
      </w:tr>
    </w:tbl>
    <w:p>
      <w:pPr>
        <w:spacing w:after="220" w:before="60"/>
      </w:pPr>
      <w:r>
        <w:rPr>
          <w:b/>
          <w:bCs/>
          <w:color w:val="666666"/>
          <w:sz w:val="18"/>
          <w:szCs w:val="18"/>
        </w:rPr>
        <w:t xml:space="preserve">Source: </w:t>
      </w:r>
      <w:r>
        <w:rPr>
          <w:color w:val="666666"/>
          <w:sz w:val="18"/>
          <w:szCs w:val="18"/>
        </w:rPr>
        <w:t xml:space="preserve">Week 4 workbook, Discovery Questions tab, Q8 ("What company size is the initial target?") — cites large enterprises holding 74.62% of 2025 VMS revenue while the SME/mid-market segment grows fastest at 11.71% CAGR; also cites a study finding 73% of financial institutions staff their vendor risk function with two or fewer employees while managing 300+ vendors.</w:t>
      </w:r>
    </w:p>
    <w:p>
      <w:pPr>
        <w:pStyle w:val="Heading2"/>
        <w:spacing w:after="150" w:before="300"/>
      </w:pPr>
      <w:r>
        <w:t xml:space="preserve">2.2 The sharpest edge of that sweet spot: regulated industries</w:t>
      </w:r>
    </w:p>
    <w:p>
      <w:pPr>
        <w:spacing w:after="160" w:line="300"/>
      </w:pPr>
      <w:r>
        <w:rPr>
          <w:b w:val="false"/>
          <w:bCs w:val="false"/>
          <w:i w:val="false"/>
          <w:iCs w:val="false"/>
        </w:rPr>
        <w:t xml:space="preserve">Inside the mid-market group, two industries hurt the most: healthcare and financial services, including fintech.</w:t>
      </w:r>
    </w:p>
    <w:p>
      <w:pPr>
        <w:spacing w:after="160" w:line="300"/>
      </w:pPr>
      <w:r>
        <w:rPr>
          <w:b w:val="false"/>
          <w:bCs w:val="false"/>
          <w:i w:val="false"/>
          <w:iCs w:val="false"/>
        </w:rPr>
        <w:t xml:space="preserve">Here is why. A mid-market company in a low-risk, unregulated industry can get away with a messy process because nobody is checking. A mid-market company in healthcare or finance cannot get away with it. The law forces them to run compliance checks, but they don't have the staff of a big bank or hospital chain to run those checks smoothly. They are squeezed from both sides at once.</w:t>
      </w:r>
    </w:p>
    <w:p>
      <w:pPr>
        <w:pBdr>
          <w:left w:val="single" w:color="999999" w:sz="12" w:space="8"/>
        </w:pBdr>
        <w:spacing w:after="160" w:before="100" w:line="300"/>
        <w:ind w:left="504"/>
      </w:pPr>
      <w:r>
        <w:rPr>
          <w:i/>
          <w:iCs/>
        </w:rPr>
        <w:t xml:space="preserve">"Mid-market healthcare and financial services companies are the segment most likely to buy with real urgency, because they combine a structural gap (no procurement team) with a legal one (mandatory compliance), and unlike large enterprises or unregulated small businesses, neither gap has an easy substitute."</w:t>
      </w:r>
      <w:r>
        <w:rPr>
          <w:b/>
          <w:bCs/>
          <w:i/>
          <w:iCs/>
        </w:rPr>
        <w:t xml:space="preserve">  — Week 4 workbook, Secondary Research (Notes), Insight 3</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Don't sell "vendor management for any company." Sell it first to mid-market healthcare and fintech companies. They carry both the pain and the budget line to pay for relief.</w:t>
            </w:r>
          </w:p>
        </w:tc>
      </w:tr>
    </w:tbl>
    <w:p>
      <w:pPr>
        <w:spacing w:after="220" w:before="60"/>
      </w:pPr>
      <w:r>
        <w:rPr>
          <w:b/>
          <w:bCs/>
          <w:color w:val="666666"/>
          <w:sz w:val="18"/>
          <w:szCs w:val="18"/>
        </w:rPr>
        <w:t xml:space="preserve">Source: </w:t>
      </w:r>
      <w:r>
        <w:rPr>
          <w:color w:val="666666"/>
          <w:sz w:val="18"/>
          <w:szCs w:val="18"/>
        </w:rPr>
        <w:t xml:space="preserve">Week 4 workbook, Secondary Research (Notes), Insight 3 — "Mid-market plus regulated industry is a compounding, not additive, pain point."</w:t>
      </w:r>
    </w:p>
    <w:p>
      <w:pPr>
        <w:pStyle w:val="Heading2"/>
        <w:spacing w:after="150" w:before="300"/>
      </w:pPr>
      <w:r>
        <w:t xml:space="preserve">2.3 A second, smaller signal: India as an underserved place to sell</w:t>
      </w:r>
    </w:p>
    <w:p>
      <w:pPr>
        <w:spacing w:after="160" w:line="300"/>
      </w:pPr>
      <w:r>
        <w:rPr>
          <w:b w:val="false"/>
          <w:bCs w:val="false"/>
          <w:i w:val="false"/>
          <w:iCs w:val="false"/>
        </w:rPr>
        <w:t xml:space="preserve">The research also looked at geography. Plenty of companies sell vendor tools worldwide. But in India specifically, no company yet offers one easy-to-use tool that connects legal, finance, IT, and procurement together, the way global challengers like Zip do elsewhere.</w:t>
      </w:r>
    </w:p>
    <w:p>
      <w:pPr>
        <w:pStyle w:val="ListParagraph"/>
        <w:numPr>
          <w:ilvl w:val="0"/>
          <w:numId w:val="1"/>
        </w:numPr>
        <w:spacing w:after="100" w:line="300"/>
      </w:pPr>
      <w:r>
        <w:t xml:space="preserve">Zycus and GEP are India-based companies, but they mostly sell to customers outside India, not to Indian mid-market buyers.</w:t>
      </w:r>
    </w:p>
    <w:p>
      <w:pPr>
        <w:pStyle w:val="ListParagraph"/>
        <w:numPr>
          <w:ilvl w:val="0"/>
          <w:numId w:val="1"/>
        </w:numPr>
        <w:spacing w:after="100" w:line="300"/>
      </w:pPr>
      <w:r>
        <w:t xml:space="preserve">Indian rules add extra homework that a global tool doesn't handle out of the box: a GST tax number, a PAN number, an Udyam small-business registration, and a 45-day payment clock for small suppliers, all of which can change without warning.</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India is not the main target on its own, but it is a real gap worth flagging. Whoever builds GST, PAN, and Udyam checks into onboarding as a built-in feature, not an add-on, has an edge here that global tools don't have today.</w:t>
            </w:r>
          </w:p>
        </w:tc>
      </w:tr>
    </w:tbl>
    <w:p>
      <w:pPr>
        <w:spacing w:after="220" w:before="60"/>
      </w:pPr>
      <w:r>
        <w:rPr>
          <w:b/>
          <w:bCs/>
          <w:color w:val="666666"/>
          <w:sz w:val="18"/>
          <w:szCs w:val="18"/>
        </w:rPr>
        <w:t xml:space="preserve">Source: </w:t>
      </w:r>
      <w:r>
        <w:rPr>
          <w:color w:val="666666"/>
          <w:sz w:val="18"/>
          <w:szCs w:val="18"/>
        </w:rPr>
        <w:t xml:space="preserve">Week 4 workbook, Secondary Research (Notes), Part C ("The India Players") and "Gap 4 — India mid-market as an under-served segment."</w:t>
      </w:r>
    </w:p>
    <w:p>
      <w:pPr>
        <w:spacing w:after="160" w:before="80" w:line="300"/>
      </w:pPr>
      <w:r>
        <w:rPr>
          <w:b/>
          <w:bCs/>
          <w:color w:val="B02A2A"/>
        </w:rPr>
        <w:t xml:space="preserve">⚠️ This India finding rests on secondary research (published reports) only. None of our four survey responses or the one real interview confirm it from an actual Indian mid-market buyer's own mouth. Treat it as a hypothesis worth testing, not a settled fact.</w:t>
      </w:r>
    </w:p>
    <w:p>
      <w:r>
        <w:br w:type="page"/>
      </w:r>
    </w:p>
    <w:p>
      <w:pPr>
        <w:pStyle w:val="Heading1"/>
        <w:spacing w:after="200" w:before="400"/>
      </w:pPr>
      <w:r>
        <w:t xml:space="preserve">3. The Seven Big Problems</w:t>
      </w:r>
    </w:p>
    <w:p>
      <w:pPr>
        <w:spacing w:after="160" w:line="300"/>
      </w:pPr>
      <w:r>
        <w:rPr>
          <w:b w:val="false"/>
          <w:bCs w:val="false"/>
          <w:i w:val="false"/>
          <w:iCs w:val="false"/>
        </w:rPr>
        <w:t xml:space="preserve">Three research teams tested 124 separate hypotheses against outside evidence. 67 came back "Validated," 34 "Partially Validated." Once you strip away the repeats, they all boil down to seven real problems.</w:t>
      </w:r>
    </w:p>
    <w:p>
      <w:pPr>
        <w:pStyle w:val="Heading2"/>
        <w:spacing w:after="150" w:before="300"/>
      </w:pPr>
      <w:r>
        <w:t xml:space="preserve">Problem 1 — Nobody owns the whole job</w:t>
      </w:r>
    </w:p>
    <w:p>
      <w:pPr>
        <w:spacing w:after="160" w:line="300"/>
      </w:pPr>
      <w:r>
        <w:rPr>
          <w:b w:val="false"/>
          <w:bCs w:val="false"/>
          <w:i w:val="false"/>
          <w:iCs w:val="false"/>
        </w:rPr>
        <w:t xml:space="preserve">Procurement, Finance, Legal, and IT each do their own step well. But nobody owns getting a vendor from "request" all the way to "done." The work doesn't sit with any one team. It sits in the gap between teams.</w:t>
      </w:r>
    </w:p>
    <w:p>
      <w:pPr>
        <w:spacing w:after="160" w:line="300"/>
      </w:pPr>
      <w:r>
        <w:rPr>
          <w:b w:val="false"/>
          <w:bCs w:val="false"/>
          <w:i w:val="false"/>
          <w:iCs w:val="false"/>
        </w:rPr>
        <w:t xml:space="preserve">Idle waiting time makes up 85 to 90 percent of the entire 15-to-30-day window. That means for every 10 days a vendor waits, roughly 9 of those days nobody is actually doing anything to their request.</w:t>
      </w:r>
    </w:p>
    <w:p>
      <w:pPr>
        <w:pBdr>
          <w:left w:val="single" w:color="999999" w:sz="12" w:space="8"/>
        </w:pBdr>
        <w:spacing w:after="160" w:before="100" w:line="300"/>
        <w:ind w:left="504"/>
      </w:pPr>
      <w:r>
        <w:rPr>
          <w:i/>
          <w:iCs/>
        </w:rPr>
        <w:t xml:space="preserve">"Everyone optimises their own step, nobody owns elapsed time."</w:t>
      </w:r>
      <w:r>
        <w:rPr>
          <w:b/>
          <w:bCs/>
          <w:i/>
          <w:iCs/>
        </w:rPr>
        <w:t xml:space="preserve">  — Week 4 workbook, Hypothesis Validation POD 1 (Nidhi's research notes)</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Making one team faster won't fix the timeline. The fix has to be about who holds the baton between teams, not how fast any single runner sprints.</w:t>
            </w:r>
          </w:p>
        </w:tc>
      </w:tr>
    </w:tbl>
    <w:p>
      <w:pPr>
        <w:spacing w:after="220" w:before="60"/>
      </w:pPr>
      <w:r>
        <w:rPr>
          <w:b/>
          <w:bCs/>
          <w:color w:val="666666"/>
          <w:sz w:val="18"/>
          <w:szCs w:val="18"/>
        </w:rPr>
        <w:t xml:space="preserve">Source: </w:t>
      </w:r>
      <w:r>
        <w:rPr>
          <w:color w:val="666666"/>
          <w:sz w:val="18"/>
          <w:szCs w:val="18"/>
        </w:rPr>
        <w:t xml:space="preserve">Week 4 workbook, Validated Themes POD 2, Theme 1; Deloitte 2025 CPO Survey (57% of procurement leaders name siloed working structures as their top obstacle), cited in Hypothesis Validation POD 3.</w:t>
      </w:r>
    </w:p>
    <w:p>
      <w:pPr>
        <w:pStyle w:val="Heading2"/>
        <w:spacing w:after="150" w:before="300"/>
      </w:pPr>
      <w:r>
        <w:t xml:space="preserve">Problem 2 — There is no single front door</w:t>
      </w:r>
    </w:p>
    <w:p>
      <w:pPr>
        <w:spacing w:after="160" w:line="300"/>
      </w:pPr>
      <w:r>
        <w:rPr>
          <w:b w:val="false"/>
          <w:bCs w:val="false"/>
          <w:i w:val="false"/>
          <w:iCs w:val="false"/>
        </w:rPr>
        <w:t xml:space="preserve">A new vendor request can arrive by email, Slack message, phone call, or a forwarded PDF. There is no one place to start. Because of that, the same request touches an inbox 15 to 25 times on average before it's done, and the same vendor identity gets typed in, by hand, three to five separate times into different systems.</w:t>
      </w:r>
    </w:p>
    <w:p>
      <w:pPr>
        <w:pBdr>
          <w:left w:val="single" w:color="999999" w:sz="12" w:space="8"/>
        </w:pBdr>
        <w:spacing w:after="160" w:before="100" w:line="300"/>
        <w:ind w:left="504"/>
      </w:pPr>
      <w:r>
        <w:rPr>
          <w:i/>
          <w:iCs/>
        </w:rPr>
        <w:t xml:space="preserve">"One customer may use Oracle Fusion while another uses SAP. Vendors often need to create quotations in one system and then upload those quotations into another company's portal. This duplication of effort is a major pain point."</w:t>
      </w:r>
      <w:r>
        <w:rPr>
          <w:b/>
          <w:bCs/>
          <w:i/>
          <w:iCs/>
        </w:rPr>
        <w:t xml:space="preserve">  — Phone-interview.docx, our own primary-research interview</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A single structured intake form is the cheapest, highest-leverage first fix. It's also the first thing almost every funded competitor, including Zip, ORO Labs, and Omnea, chose to build.</w:t>
            </w:r>
          </w:p>
        </w:tc>
      </w:tr>
    </w:tbl>
    <w:p>
      <w:pPr>
        <w:spacing w:after="220" w:before="60"/>
      </w:pPr>
      <w:r>
        <w:rPr>
          <w:b/>
          <w:bCs/>
          <w:color w:val="666666"/>
          <w:sz w:val="18"/>
          <w:szCs w:val="18"/>
        </w:rPr>
        <w:t xml:space="preserve">Source: </w:t>
      </w:r>
      <w:r>
        <w:rPr>
          <w:color w:val="666666"/>
          <w:sz w:val="18"/>
          <w:szCs w:val="18"/>
        </w:rPr>
        <w:t xml:space="preserve">Week 4 workbook, Validated Themes POD 3, Theme 2; Secondary Research (Notes), "Measurable Before and After Metrics" (15–25 email touches manual vs. 0–3 automated); Phone-interview.docx.</w:t>
      </w:r>
    </w:p>
    <w:p>
      <w:pPr>
        <w:pStyle w:val="Heading2"/>
        <w:spacing w:after="150" w:before="300"/>
      </w:pPr>
      <w:r>
        <w:t xml:space="preserve">Problem 3 — Every vendor gets treated the same way</w:t>
      </w:r>
    </w:p>
    <w:p>
      <w:pPr>
        <w:spacing w:after="160" w:line="300"/>
      </w:pPr>
      <w:r>
        <w:rPr>
          <w:b w:val="false"/>
          <w:bCs w:val="false"/>
          <w:i w:val="false"/>
          <w:iCs w:val="false"/>
        </w:rPr>
        <w:t xml:space="preserve">Half of all organizations don't sort vendors by risk at all. That means a one-time, low-cost vendor gets the exact same lengthy gauntlet as a vendor who will touch sensitive customer data. Risk tiers do exist on paper (a critical vendor needs 12 to 20 days, a standard vendor needs 1 to 3), but almost nobody actually uses them, so the case study's own 15-to-30-day figure is really a blurred average hiding that difference.</w:t>
      </w:r>
    </w:p>
    <w:p>
      <w:pPr>
        <w:pBdr>
          <w:left w:val="single" w:color="999999" w:sz="12" w:space="8"/>
        </w:pBdr>
        <w:spacing w:after="160" w:before="100" w:line="300"/>
        <w:ind w:left="504"/>
      </w:pPr>
      <w:r>
        <w:rPr>
          <w:i/>
          <w:iCs/>
        </w:rPr>
        <w:t xml:space="preserve">"A ₹40,000 one-off translation vendor goes through the same gauntlet as a cloud provider handling customer data."</w:t>
      </w:r>
      <w:r>
        <w:rPr>
          <w:b/>
          <w:bCs/>
          <w:i/>
          <w:iCs/>
        </w:rPr>
        <w:t xml:space="preserve">  — Week 4 workbook, Hypothesis Validation POD 3 (Rahman's research, strongest single match in the dataset)</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Sorting vendors by risk before starting the clock, and fast-tracking the easy 60 to 80 percent of them, is a concrete, buildable first feature. It is not a nice-to-have.</w:t>
            </w:r>
          </w:p>
        </w:tc>
      </w:tr>
    </w:tbl>
    <w:p>
      <w:pPr>
        <w:spacing w:after="220" w:before="60"/>
      </w:pPr>
      <w:r>
        <w:rPr>
          <w:b/>
          <w:bCs/>
          <w:color w:val="666666"/>
          <w:sz w:val="18"/>
          <w:szCs w:val="18"/>
        </w:rPr>
        <w:t xml:space="preserve">Source: </w:t>
      </w:r>
      <w:r>
        <w:rPr>
          <w:color w:val="666666"/>
          <w:sz w:val="18"/>
          <w:szCs w:val="18"/>
        </w:rPr>
        <w:t xml:space="preserve">Week 4 workbook, Secondary Research (Notes), "Risk-Tiering Framework" and "Real Cost and Risk Statistics" (50% of organizations do not rank vendors by risk at all).</w:t>
      </w:r>
    </w:p>
    <w:p>
      <w:pPr>
        <w:pStyle w:val="Heading2"/>
        <w:spacing w:after="150" w:before="300"/>
      </w:pPr>
      <w:r>
        <w:t xml:space="preserve">Problem 4 — The vendor is treated like an afterthought</w:t>
      </w:r>
    </w:p>
    <w:p>
      <w:pPr>
        <w:spacing w:after="160" w:line="300"/>
      </w:pPr>
      <w:r>
        <w:rPr>
          <w:b w:val="false"/>
          <w:bCs w:val="false"/>
          <w:i w:val="false"/>
          <w:iCs w:val="false"/>
        </w:rPr>
        <w:t xml:space="preserve">Every tool in this market is built for the company doing the buying. Almost none of them are built for the vendor, even though the vendor does most of the paperwork and has the least power to push back. Vendors get no portal, no visibility into their own status, and have to resubmit the same certificates over and over to every single customer they work with.</w:t>
      </w:r>
    </w:p>
    <w:p>
      <w:pPr>
        <w:pBdr>
          <w:left w:val="single" w:color="999999" w:sz="12" w:space="8"/>
        </w:pBdr>
        <w:spacing w:after="160" w:before="100" w:line="300"/>
        <w:ind w:left="504"/>
      </w:pPr>
      <w:r>
        <w:rPr>
          <w:i/>
          <w:iCs/>
        </w:rPr>
        <w:t xml:space="preserve">"Vendors work with multiple customers, and every customer has a different procurement system and supplier portal... Vendors must maintain multiple accounts, learn multiple systems, respond to RFQs differently, and track multiple workflows. This creates significant operational overhead."</w:t>
      </w:r>
      <w:r>
        <w:rPr>
          <w:b/>
          <w:bCs/>
          <w:i/>
          <w:iCs/>
        </w:rPr>
        <w:t xml:space="preserve">  — Phone-interview.docx</w:t>
      </w:r>
    </w:p>
    <w:p>
      <w:pPr>
        <w:spacing w:after="160" w:line="300"/>
      </w:pPr>
      <w:r>
        <w:rPr>
          <w:b w:val="false"/>
          <w:bCs w:val="false"/>
          <w:i w:val="false"/>
          <w:iCs w:val="false"/>
        </w:rPr>
        <w:t xml:space="preserve">This shows up in outside research too: 45 percent of vendors report a deal getting pushed back, and 34 percent report losing a deal outright, because a security review took too long. Somewhere between 15 and 25 percent of vendors simply give up partway through a complex enterprise onboarding.</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A vendor-facing, self-serve status page is the single most under-built thing in the entire competitive market. Nobody reviewed in this research owns that space yet.</w:t>
            </w:r>
          </w:p>
        </w:tc>
      </w:tr>
    </w:tbl>
    <w:p>
      <w:pPr>
        <w:spacing w:after="220" w:before="60"/>
      </w:pPr>
      <w:r>
        <w:rPr>
          <w:b/>
          <w:bCs/>
          <w:color w:val="666666"/>
          <w:sz w:val="18"/>
          <w:szCs w:val="18"/>
        </w:rPr>
        <w:t xml:space="preserve">Source: </w:t>
      </w:r>
      <w:r>
        <w:rPr>
          <w:color w:val="666666"/>
          <w:sz w:val="18"/>
          <w:szCs w:val="18"/>
        </w:rPr>
        <w:t xml:space="preserve">Whistic, 2022 State of Vendor Security Report (n = 618: 315 infosec/cybersecurity + 303 SaaS sales respondents), cited in Week 4 workbook, Hypothesis Validation POD 2; Phone-interview.docx; Week 4 workbook, Validated Themes POD 1, Theme 6 and POD 3, Theme 4.</w:t>
      </w:r>
    </w:p>
    <w:p>
      <w:pPr>
        <w:pStyle w:val="Heading2"/>
        <w:spacing w:after="150" w:before="300"/>
      </w:pPr>
      <w:r>
        <w:t xml:space="preserve">Problem 5 — Vendor information gets messy, and stays messy</w:t>
      </w:r>
    </w:p>
    <w:p>
      <w:pPr>
        <w:spacing w:after="160" w:line="300"/>
      </w:pPr>
      <w:r>
        <w:rPr>
          <w:b w:val="false"/>
          <w:bCs w:val="false"/>
          <w:i w:val="false"/>
          <w:iCs w:val="false"/>
        </w:rPr>
        <w:t xml:space="preserve">Because the same information gets typed in by hand three to five times, mistakes creep in. This isn't just untidy paperwork. Duplicate payments alone run 0.8 to 2 percent of all payments a company makes to vendors. And because banking-detail changes are often confirmed by nothing more than a reply email, real fraud slips through: one dataset reported $6.8 million in vendor-related payment losses since 2021, usually starting with a simple fake request to update a bank account.</w:t>
      </w:r>
    </w:p>
    <w:p>
      <w:pPr>
        <w:spacing w:after="160" w:line="300"/>
      </w:pPr>
      <w:r>
        <w:rPr>
          <w:b w:val="false"/>
          <w:bCs w:val="false"/>
          <w:i w:val="false"/>
          <w:iCs w:val="false"/>
        </w:rPr>
        <w:t xml:space="preserve">Forty percent of organizations say they operate with scattered vendor data and no single, trusted version of the truth. That same messy data is also the number one reason companies can't yet trust AI tools with vendor decisions: 73 percent name data quality, not lack of interest, as the reason AI adoption in procurement lags every other business function.</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This is not a tidiness problem. It is a live fraud and duplicate-payment risk hiding in plain sight, and it blocks every future automation feature until it's fixed.</w:t>
            </w:r>
          </w:p>
        </w:tc>
      </w:tr>
    </w:tbl>
    <w:p>
      <w:pPr>
        <w:spacing w:after="220" w:before="60"/>
      </w:pPr>
      <w:r>
        <w:rPr>
          <w:b/>
          <w:bCs/>
          <w:color w:val="666666"/>
          <w:sz w:val="18"/>
          <w:szCs w:val="18"/>
        </w:rPr>
        <w:t xml:space="preserve">Source: </w:t>
      </w:r>
      <w:r>
        <w:rPr>
          <w:color w:val="666666"/>
          <w:sz w:val="18"/>
          <w:szCs w:val="18"/>
        </w:rPr>
        <w:t xml:space="preserve">Washington State Auditor's Office, cited in Week 4 workbook, Hypothesis Validation POD 1 (Yaman's research); Secondary Research (Notes), "Broader Industry Context — AI Readiness in Procurement" and Validated Themes POD 2, Theme 9.</w:t>
      </w:r>
    </w:p>
    <w:p>
      <w:pPr>
        <w:pStyle w:val="Heading2"/>
        <w:spacing w:after="150" w:before="300"/>
      </w:pPr>
      <w:r>
        <w:t xml:space="preserve">Problem 6 — Once a vendor is in, nobody checks back</w:t>
      </w:r>
    </w:p>
    <w:p>
      <w:pPr>
        <w:spacing w:after="160" w:line="300"/>
      </w:pPr>
      <w:r>
        <w:rPr>
          <w:b w:val="false"/>
          <w:bCs w:val="false"/>
          <w:i w:val="false"/>
          <w:iCs w:val="false"/>
        </w:rPr>
        <w:t xml:space="preserve">Onboarding is treated like a finish line, not the start of a relationship. Security reassessments usually happen once a year at best, not continuously. Contract renewal dates live inside someone's personal inbox or a spreadsheet, so they get missed, or worse, they silently auto-renew. One company reported saving $1.3 million a year simply by catching unwanted auto-renewals it didn't know were happening.</w:t>
      </w:r>
    </w:p>
    <w:p>
      <w:pPr>
        <w:spacing w:after="160" w:line="300"/>
      </w:pPr>
      <w:r>
        <w:rPr>
          <w:b w:val="false"/>
          <w:bCs w:val="false"/>
          <w:i w:val="false"/>
          <w:iCs w:val="false"/>
        </w:rPr>
        <w:t xml:space="preserve">This has a real, worsening cost: incidents that trace back to a third-party vendor doubled year over year, from 15 percent of all incidents in 2024 to 30 percent in 2025.</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A good first product can't stop at "approved." Vendor risk and vendor data need an ongoing heartbeat that keeps checking after the day-one form gets signed.</w:t>
            </w:r>
          </w:p>
        </w:tc>
      </w:tr>
    </w:tbl>
    <w:p>
      <w:pPr>
        <w:spacing w:after="220" w:before="60"/>
      </w:pPr>
      <w:r>
        <w:rPr>
          <w:b/>
          <w:bCs/>
          <w:color w:val="666666"/>
          <w:sz w:val="18"/>
          <w:szCs w:val="18"/>
        </w:rPr>
        <w:t xml:space="preserve">Source: </w:t>
      </w:r>
      <w:r>
        <w:rPr>
          <w:color w:val="666666"/>
          <w:sz w:val="18"/>
          <w:szCs w:val="18"/>
        </w:rPr>
        <w:t xml:space="preserve">Week 4 workbook, Validated Themes POD 1, Theme 7 and POD 2, Theme 7; TheNextWeb 2026 supplier-management buyer's guide ($1.3M savings figure); Gartner Magic Quadrant for TPRM Tools 2026, cited via OneTrust in Hypothesis Validation POD 2 (15% to 30% incident doubling).</w:t>
      </w:r>
    </w:p>
    <w:p>
      <w:pPr>
        <w:pStyle w:val="Heading2"/>
        <w:spacing w:after="150" w:before="300"/>
      </w:pPr>
      <w:r>
        <w:t xml:space="preserve">Problem 7 — When the process is too slow, people just go around it</w:t>
      </w:r>
    </w:p>
    <w:p>
      <w:pPr>
        <w:spacing w:after="160" w:line="300"/>
      </w:pPr>
      <w:r>
        <w:rPr>
          <w:b w:val="false"/>
          <w:bCs w:val="false"/>
          <w:i w:val="false"/>
          <w:iCs w:val="false"/>
        </w:rPr>
        <w:t xml:space="preserve">Teams start working with a vendor before approval is even finished. People default to an already-approved vendor even when a better one exists, simply because starting fresh costs too much time. Small purchases get paid on a personal company credit card just to dodge the process entirely. Small and medium companies carry roughly nine vendors for every one employee they have, but actually use only about a quarter of them, a pile of forgotten "zombie" vendor spend.</w:t>
      </w:r>
    </w:p>
    <w:p>
      <w:pPr>
        <w:spacing w:after="160" w:line="300"/>
      </w:pPr>
      <w:r>
        <w:rPr>
          <w:b w:val="false"/>
          <w:bCs w:val="false"/>
          <w:i w:val="false"/>
          <w:iCs w:val="false"/>
        </w:rPr>
        <w:t xml:space="preserve">Interestingly, our own survey shows people rarely admit to this out loud. Only one of our four survey respondents admitted to ever personally skipping a system step. Yet three of the same four respondents separately asked for fewer approvals on low-risk, low-budget purchases, and one specifically wanted to delete "mandatory multi-step approval workflow for low-risk, routine purchase orders." People under-report bending the rules, even while asking, in the very same survey, for the rules to bend.</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Every workaround is a symptom pointing at the exact fix that's missing. Build a fast, low-friction path for low-risk vendors, and you remove the reason people go around the system in the first place.</w:t>
            </w:r>
          </w:p>
        </w:tc>
      </w:tr>
    </w:tbl>
    <w:p>
      <w:pPr>
        <w:spacing w:after="220" w:before="60"/>
      </w:pPr>
      <w:r>
        <w:rPr>
          <w:b/>
          <w:bCs/>
          <w:color w:val="666666"/>
          <w:sz w:val="18"/>
          <w:szCs w:val="18"/>
        </w:rPr>
        <w:t xml:space="preserve">Source: </w:t>
      </w:r>
      <w:r>
        <w:rPr>
          <w:color w:val="666666"/>
          <w:sz w:val="18"/>
          <w:szCs w:val="18"/>
        </w:rPr>
        <w:t xml:space="preserve">Week 4 workbook, Validated Themes POD 1, Theme 10 (Yaman's research); Ravi's research note on SME vendor-to-employee ratio, Hypothesis Validation POD 3; Vendor Onboarding Feedback Survey (Responses).xlsx, Q6 and Q14, our own primary research.</w:t>
      </w:r>
    </w:p>
    <w:p>
      <w:r>
        <w:br w:type="page"/>
      </w:r>
    </w:p>
    <w:p>
      <w:pPr>
        <w:pStyle w:val="Heading1"/>
        <w:spacing w:after="200" w:before="400"/>
      </w:pPr>
      <w:r>
        <w:t xml:space="preserve">4. What Real People Told Us Directly</w:t>
      </w:r>
    </w:p>
    <w:p>
      <w:pPr>
        <w:spacing w:after="160" w:line="300"/>
      </w:pPr>
      <w:r>
        <w:rPr>
          <w:b w:val="false"/>
          <w:bCs w:val="false"/>
          <w:i w:val="false"/>
          <w:iCs w:val="false"/>
        </w:rPr>
        <w:t xml:space="preserve">Outside reports and market studies are useful, but they are secondhand. This section is about the two things in the folder that came straight from a real person: one recorded interview, and one small survey.</w:t>
      </w:r>
    </w:p>
    <w:p>
      <w:pPr>
        <w:pStyle w:val="Heading2"/>
        <w:spacing w:after="150" w:before="300"/>
      </w:pPr>
      <w:r>
        <w:t xml:space="preserve">4.1 The interview: a real conversation with a vendor management professional</w:t>
      </w:r>
    </w:p>
    <w:p>
      <w:pPr>
        <w:spacing w:after="160" w:line="300"/>
      </w:pPr>
      <w:r>
        <w:rPr>
          <w:b w:val="false"/>
          <w:bCs w:val="false"/>
          <w:i w:val="false"/>
          <w:iCs w:val="false"/>
        </w:rPr>
        <w:t xml:space="preserve">The folder includes a recorded phone call and two versions of it: the raw, timestamped transcript, and a cleaned-up question-and-answer version in Phone-interview.docx.</w:t>
      </w:r>
    </w:p>
    <w:p>
      <w:pPr>
        <w:spacing w:after="160" w:before="80" w:line="300"/>
      </w:pPr>
      <w:r>
        <w:rPr>
          <w:b/>
          <w:bCs/>
          <w:color w:val="B02A2A"/>
        </w:rPr>
        <w:t xml:space="preserve">⚠️ The first roughly 33 minutes of the raw transcript are unreadable. The transcription tool appears to have glitched, repeating single words like "Hello" over and over. The real, usable conversation starts around the 33-minute mark and runs to about the 43-minute mark. We relied on the cleaned Q&amp;A version in Phone-interview.docx, which appears to be built from that same usable stretch, as the trustworthy record.</w:t>
      </w:r>
    </w:p>
    <w:p>
      <w:pPr>
        <w:spacing w:after="160" w:line="300"/>
      </w:pPr>
      <w:r>
        <w:rPr>
          <w:b w:val="false"/>
          <w:bCs w:val="false"/>
          <w:i w:val="false"/>
          <w:iCs w:val="false"/>
        </w:rPr>
        <w:t xml:space="preserve">Here is what this person told us, in their own words or very close to them:</w:t>
      </w:r>
    </w:p>
    <w:p>
      <w:pPr>
        <w:pBdr>
          <w:left w:val="single" w:color="999999" w:sz="12" w:space="8"/>
        </w:pBdr>
        <w:spacing w:after="160" w:before="100" w:line="300"/>
        <w:ind w:left="504"/>
      </w:pPr>
      <w:r>
        <w:rPr>
          <w:i/>
          <w:iCs/>
        </w:rPr>
        <w:t xml:space="preserve">"Vendors are usually identified through referrals, recommendations, marketing interactions, sales teams, or existing business networks. Sometimes procurement teams are introduced to vendors through internal stakeholders rather than formal sourcing channels."</w:t>
      </w:r>
      <w:r>
        <w:rPr>
          <w:b/>
          <w:bCs/>
          <w:i/>
          <w:iCs/>
        </w:rPr>
        <w:t xml:space="preserve">  — Phone-interview.docx, Topic 1</w:t>
      </w:r>
    </w:p>
    <w:p>
      <w:pPr>
        <w:pBdr>
          <w:left w:val="single" w:color="999999" w:sz="12" w:space="8"/>
        </w:pBdr>
        <w:spacing w:after="160" w:before="100" w:line="300"/>
        <w:ind w:left="504"/>
      </w:pPr>
      <w:r>
        <w:rPr>
          <w:i/>
          <w:iCs/>
        </w:rPr>
        <w:t xml:space="preserve">"Vendors don't always understand portal workflows. Invitation links are missed or ignored. Users need to follow up repeatedly. Procurement teams often switch back to emails and calls."</w:t>
      </w:r>
      <w:r>
        <w:rPr>
          <w:b/>
          <w:bCs/>
          <w:i/>
          <w:iCs/>
        </w:rPr>
        <w:t xml:space="preserve">  — Phone-interview.docx, Topic 3</w:t>
      </w:r>
    </w:p>
    <w:p>
      <w:pPr>
        <w:pBdr>
          <w:left w:val="single" w:color="999999" w:sz="12" w:space="8"/>
        </w:pBdr>
        <w:spacing w:after="160" w:before="100" w:line="300"/>
        <w:ind w:left="504"/>
      </w:pPr>
      <w:r>
        <w:rPr>
          <w:i/>
          <w:iCs/>
        </w:rPr>
        <w:t xml:space="preserve">"Manual communication often feels faster. When deadlines are tight, users negotiate directly through email rather than waiting for vendors to complete portal-based workflows."</w:t>
      </w:r>
      <w:r>
        <w:rPr>
          <w:b/>
          <w:bCs/>
          <w:i/>
          <w:iCs/>
        </w:rPr>
        <w:t xml:space="preserve">  — Phone-interview.docx, Topic 3</w:t>
      </w:r>
    </w:p>
    <w:p>
      <w:pPr>
        <w:pBdr>
          <w:left w:val="single" w:color="999999" w:sz="12" w:space="8"/>
        </w:pBdr>
        <w:spacing w:after="160" w:before="100" w:line="300"/>
        <w:ind w:left="504"/>
      </w:pPr>
      <w:r>
        <w:rPr>
          <w:i/>
          <w:iCs/>
        </w:rPr>
        <w:t xml:space="preserve">"Today the process is fragmented: some steps occur online, some steps happen offline, many approvals happen through email, manual interventions are common."</w:t>
      </w:r>
      <w:r>
        <w:rPr>
          <w:b/>
          <w:bCs/>
          <w:i/>
          <w:iCs/>
        </w:rPr>
        <w:t xml:space="preserve">  — Phone-interview.docx, Topic 6</w:t>
      </w:r>
    </w:p>
    <w:p>
      <w:pPr>
        <w:spacing w:after="160" w:line="300"/>
      </w:pPr>
      <w:r>
        <w:rPr>
          <w:b w:val="false"/>
          <w:bCs w:val="false"/>
          <w:i w:val="false"/>
          <w:iCs w:val="false"/>
        </w:rPr>
        <w:t xml:space="preserve">And when asked what an ideal fix would look like, the answer was simple: one centralized place to hold vendor information, less repeated paperwork, and fewer separate portals to juggle.</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This single interview independently confirms Problems 2 and 4 above (no single front door, vendor treated as an afterthought), word for word, without having seen the secondary research first. That is a strong signal, not a coincidence.</w:t>
            </w:r>
          </w:p>
        </w:tc>
      </w:tr>
    </w:tbl>
    <w:p>
      <w:pPr>
        <w:spacing w:after="160" w:before="80" w:line="300"/>
      </w:pPr>
      <w:r>
        <w:rPr>
          <w:b/>
          <w:bCs/>
          <w:color w:val="B02A2A"/>
        </w:rPr>
        <w:t xml:space="preserve">⚠️ This is one interview with one person. It confirms the direction of the research well, but it should not be treated as proof on its own. It also speaks from inside a buying organization, not from a vendor's point of view, so it does not fill the "what does the vendor actually experience" gap by itself.</w:t>
      </w:r>
    </w:p>
    <w:p>
      <w:pPr>
        <w:pStyle w:val="Heading2"/>
        <w:spacing w:after="150" w:before="300"/>
      </w:pPr>
      <w:r>
        <w:t xml:space="preserve">4.2 The survey: four real people, four real answers</w:t>
      </w:r>
    </w:p>
    <w:p>
      <w:pPr>
        <w:spacing w:after="160" w:line="300"/>
      </w:pPr>
      <w:r>
        <w:rPr>
          <w:b w:val="false"/>
          <w:bCs w:val="false"/>
          <w:i w:val="false"/>
          <w:iCs w:val="false"/>
        </w:rPr>
        <w:t xml:space="preserve">Four people filled out the Vendor Onboarding Feedback Survey. Three work in Procurement or Purchasing, and one works in Finance and Accounts Payable. All four are on the buying side, not the vendor 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2B2B2B" w:val="clear"/>
            <w:tcMar>
              <w:top w:type="dxa" w:w="100"/>
              <w:left w:type="dxa" w:w="120"/>
              <w:bottom w:type="dxa" w:w="100"/>
              <w:right w:type="dxa" w:w="120"/>
            </w:tcMar>
            <w:vAlign w:val="center"/>
          </w:tcPr>
          <w:p>
            <w:pPr>
              <w:spacing w:line="260"/>
            </w:pPr>
            <w:r>
              <w:rPr>
                <w:b/>
                <w:bCs/>
                <w:color w:val="FFFFFF"/>
                <w:sz w:val="19"/>
                <w:szCs w:val="19"/>
              </w:rPr>
              <w:t xml:space="preserve">What we asked</w:t>
            </w:r>
          </w:p>
        </w:tc>
        <w:tc>
          <w:tcPr>
            <w:tcW w:type="pct" w:w="45%"/>
            <w:shd w:fill="2B2B2B" w:val="clear"/>
            <w:tcMar>
              <w:top w:type="dxa" w:w="100"/>
              <w:left w:type="dxa" w:w="120"/>
              <w:bottom w:type="dxa" w:w="100"/>
              <w:right w:type="dxa" w:w="120"/>
            </w:tcMar>
            <w:vAlign w:val="center"/>
          </w:tcPr>
          <w:p>
            <w:pPr>
              <w:spacing w:line="260"/>
            </w:pPr>
            <w:r>
              <w:rPr>
                <w:b/>
                <w:bCs/>
                <w:color w:val="FFFFFF"/>
                <w:sz w:val="19"/>
                <w:szCs w:val="19"/>
              </w:rPr>
              <w:t xml:space="preserve">What we heard</w:t>
            </w:r>
          </w:p>
        </w:tc>
        <w:tc>
          <w:tcPr>
            <w:tcW w:type="pct" w:w="25%"/>
            <w:shd w:fill="2B2B2B" w:val="clear"/>
            <w:tcMar>
              <w:top w:type="dxa" w:w="100"/>
              <w:left w:type="dxa" w:w="120"/>
              <w:bottom w:type="dxa" w:w="100"/>
              <w:right w:type="dxa" w:w="120"/>
            </w:tcMar>
            <w:vAlign w:val="center"/>
          </w:tcPr>
          <w:p>
            <w:pPr>
              <w:spacing w:line="260"/>
            </w:pPr>
            <w:r>
              <w:rPr>
                <w:b/>
                <w:bCs/>
                <w:color w:val="FFFFFF"/>
                <w:sz w:val="19"/>
                <w:szCs w:val="19"/>
              </w:rPr>
              <w:t xml:space="preserve">How many agreed</w:t>
            </w:r>
          </w:p>
        </w:tc>
      </w:tr>
      <w:tr>
        <w:tc>
          <w:tcPr>
            <w:tcW w:type="pct" w:w="30%"/>
            <w:tcMar>
              <w:top w:type="dxa" w:w="100"/>
              <w:left w:type="dxa" w:w="120"/>
              <w:bottom w:type="dxa" w:w="100"/>
              <w:right w:type="dxa" w:w="120"/>
            </w:tcMar>
            <w:vAlign w:val="center"/>
          </w:tcPr>
          <w:p>
            <w:pPr>
              <w:spacing w:line="260"/>
            </w:pPr>
            <w:r>
              <w:rPr>
                <w:b w:val="false"/>
                <w:bCs w:val="false"/>
                <w:color w:val="000000"/>
                <w:sz w:val="19"/>
                <w:szCs w:val="19"/>
              </w:rPr>
              <w:t xml:space="preserve">Where does the process get stuck?</w:t>
            </w:r>
          </w:p>
        </w:tc>
        <w:tc>
          <w:tcPr>
            <w:tcW w:type="pct" w:w="45%"/>
            <w:tcMar>
              <w:top w:type="dxa" w:w="100"/>
              <w:left w:type="dxa" w:w="120"/>
              <w:bottom w:type="dxa" w:w="100"/>
              <w:right w:type="dxa" w:w="120"/>
            </w:tcMar>
            <w:vAlign w:val="center"/>
          </w:tcPr>
          <w:p>
            <w:pPr>
              <w:spacing w:line="260"/>
            </w:pPr>
            <w:r>
              <w:rPr>
                <w:b w:val="false"/>
                <w:bCs w:val="false"/>
                <w:color w:val="000000"/>
                <w:sz w:val="19"/>
                <w:szCs w:val="19"/>
              </w:rPr>
              <w:t xml:space="preserve">Contract negotiation, or Legal &amp; security checks</w:t>
            </w:r>
          </w:p>
        </w:tc>
        <w:tc>
          <w:tcPr>
            <w:tcW w:type="pct" w:w="25%"/>
            <w:tcMar>
              <w:top w:type="dxa" w:w="100"/>
              <w:left w:type="dxa" w:w="120"/>
              <w:bottom w:type="dxa" w:w="100"/>
              <w:right w:type="dxa" w:w="120"/>
            </w:tcMar>
            <w:vAlign w:val="center"/>
          </w:tcPr>
          <w:p>
            <w:pPr>
              <w:spacing w:line="260"/>
            </w:pPr>
            <w:r>
              <w:rPr>
                <w:b w:val="false"/>
                <w:bCs w:val="false"/>
                <w:color w:val="000000"/>
                <w:sz w:val="19"/>
                <w:szCs w:val="19"/>
              </w:rPr>
              <w:t xml:space="preserve">Split evenly, 2 and 2</w:t>
            </w:r>
          </w:p>
        </w:tc>
      </w:tr>
      <w:tr>
        <w:tc>
          <w:tcPr>
            <w:tcW w:type="pct" w:w="30%"/>
            <w:tcMar>
              <w:top w:type="dxa" w:w="100"/>
              <w:left w:type="dxa" w:w="120"/>
              <w:bottom w:type="dxa" w:w="100"/>
              <w:right w:type="dxa" w:w="120"/>
            </w:tcMar>
            <w:vAlign w:val="center"/>
          </w:tcPr>
          <w:p>
            <w:pPr>
              <w:spacing w:line="260"/>
            </w:pPr>
            <w:r>
              <w:rPr>
                <w:b w:val="false"/>
                <w:bCs w:val="false"/>
                <w:color w:val="000000"/>
                <w:sz w:val="19"/>
                <w:szCs w:val="19"/>
              </w:rPr>
              <w:t xml:space="preserve">What's the main cause of delay?</w:t>
            </w:r>
          </w:p>
        </w:tc>
        <w:tc>
          <w:tcPr>
            <w:tcW w:type="pct" w:w="45%"/>
            <w:tcMar>
              <w:top w:type="dxa" w:w="100"/>
              <w:left w:type="dxa" w:w="120"/>
              <w:bottom w:type="dxa" w:w="100"/>
              <w:right w:type="dxa" w:w="120"/>
            </w:tcMar>
            <w:vAlign w:val="center"/>
          </w:tcPr>
          <w:p>
            <w:pPr>
              <w:spacing w:line="260"/>
            </w:pPr>
            <w:r>
              <w:rPr>
                <w:b w:val="false"/>
                <w:bCs w:val="false"/>
                <w:color w:val="000000"/>
                <w:sz w:val="19"/>
                <w:szCs w:val="19"/>
              </w:rPr>
              <w:t xml:space="preserve">"Approvals stuck on one person"</w:t>
            </w:r>
          </w:p>
        </w:tc>
        <w:tc>
          <w:tcPr>
            <w:tcW w:type="pct" w:w="25%"/>
            <w:tcMar>
              <w:top w:type="dxa" w:w="100"/>
              <w:left w:type="dxa" w:w="120"/>
              <w:bottom w:type="dxa" w:w="100"/>
              <w:right w:type="dxa" w:w="120"/>
            </w:tcMar>
            <w:vAlign w:val="center"/>
          </w:tcPr>
          <w:p>
            <w:pPr>
              <w:spacing w:line="260"/>
            </w:pPr>
            <w:r>
              <w:rPr>
                <w:b w:val="false"/>
                <w:bCs w:val="false"/>
                <w:color w:val="000000"/>
                <w:sz w:val="19"/>
                <w:szCs w:val="19"/>
              </w:rPr>
              <w:t xml:space="preserve">3 of 4</w:t>
            </w:r>
          </w:p>
        </w:tc>
      </w:tr>
      <w:tr>
        <w:tc>
          <w:tcPr>
            <w:tcW w:type="pct" w:w="30%"/>
            <w:tcMar>
              <w:top w:type="dxa" w:w="100"/>
              <w:left w:type="dxa" w:w="120"/>
              <w:bottom w:type="dxa" w:w="100"/>
              <w:right w:type="dxa" w:w="120"/>
            </w:tcMar>
            <w:vAlign w:val="center"/>
          </w:tcPr>
          <w:p>
            <w:pPr>
              <w:spacing w:line="260"/>
            </w:pPr>
            <w:r>
              <w:rPr>
                <w:b w:val="false"/>
                <w:bCs w:val="false"/>
                <w:color w:val="000000"/>
                <w:sz w:val="19"/>
                <w:szCs w:val="19"/>
              </w:rPr>
              <w:t xml:space="preserve">How long does onboarding take?</w:t>
            </w:r>
          </w:p>
        </w:tc>
        <w:tc>
          <w:tcPr>
            <w:tcW w:type="pct" w:w="45%"/>
            <w:tcMar>
              <w:top w:type="dxa" w:w="100"/>
              <w:left w:type="dxa" w:w="120"/>
              <w:bottom w:type="dxa" w:w="100"/>
              <w:right w:type="dxa" w:w="120"/>
            </w:tcMar>
            <w:vAlign w:val="center"/>
          </w:tcPr>
          <w:p>
            <w:pPr>
              <w:spacing w:line="260"/>
            </w:pPr>
            <w:r>
              <w:rPr>
                <w:b w:val="false"/>
                <w:bCs w:val="false"/>
                <w:color w:val="000000"/>
                <w:sz w:val="19"/>
                <w:szCs w:val="19"/>
              </w:rPr>
              <w:t xml:space="preserve">15 to 30 days, or longer</w:t>
            </w:r>
          </w:p>
        </w:tc>
        <w:tc>
          <w:tcPr>
            <w:tcW w:type="pct" w:w="25%"/>
            <w:tcMar>
              <w:top w:type="dxa" w:w="100"/>
              <w:left w:type="dxa" w:w="120"/>
              <w:bottom w:type="dxa" w:w="100"/>
              <w:right w:type="dxa" w:w="120"/>
            </w:tcMar>
            <w:vAlign w:val="center"/>
          </w:tcPr>
          <w:p>
            <w:pPr>
              <w:spacing w:line="260"/>
            </w:pPr>
            <w:r>
              <w:rPr>
                <w:b w:val="false"/>
                <w:bCs w:val="false"/>
                <w:color w:val="000000"/>
                <w:sz w:val="19"/>
                <w:szCs w:val="19"/>
              </w:rPr>
              <w:t xml:space="preserve">3 of 4</w:t>
            </w:r>
          </w:p>
        </w:tc>
      </w:tr>
      <w:tr>
        <w:tc>
          <w:tcPr>
            <w:tcW w:type="pct" w:w="30%"/>
            <w:tcMar>
              <w:top w:type="dxa" w:w="100"/>
              <w:left w:type="dxa" w:w="120"/>
              <w:bottom w:type="dxa" w:w="100"/>
              <w:right w:type="dxa" w:w="120"/>
            </w:tcMar>
            <w:vAlign w:val="center"/>
          </w:tcPr>
          <w:p>
            <w:pPr>
              <w:spacing w:line="260"/>
            </w:pPr>
            <w:r>
              <w:rPr>
                <w:b w:val="false"/>
                <w:bCs w:val="false"/>
                <w:color w:val="000000"/>
                <w:sz w:val="19"/>
                <w:szCs w:val="19"/>
              </w:rPr>
              <w:t xml:space="preserve">What frustrated you most?</w:t>
            </w:r>
          </w:p>
        </w:tc>
        <w:tc>
          <w:tcPr>
            <w:tcW w:type="pct" w:w="45%"/>
            <w:tcMar>
              <w:top w:type="dxa" w:w="100"/>
              <w:left w:type="dxa" w:w="120"/>
              <w:bottom w:type="dxa" w:w="100"/>
              <w:right w:type="dxa" w:w="120"/>
            </w:tcMar>
            <w:vAlign w:val="center"/>
          </w:tcPr>
          <w:p>
            <w:pPr>
              <w:spacing w:line="260"/>
            </w:pPr>
            <w:r>
              <w:rPr>
                <w:b w:val="false"/>
                <w:bCs w:val="false"/>
                <w:color w:val="000000"/>
                <w:sz w:val="19"/>
                <w:szCs w:val="19"/>
              </w:rPr>
              <w:t xml:space="preserve">Unclear instructions, being asked for the same document twice, slow replies</w:t>
            </w:r>
          </w:p>
        </w:tc>
        <w:tc>
          <w:tcPr>
            <w:tcW w:type="pct" w:w="25%"/>
            <w:tcMar>
              <w:top w:type="dxa" w:w="100"/>
              <w:left w:type="dxa" w:w="120"/>
              <w:bottom w:type="dxa" w:w="100"/>
              <w:right w:type="dxa" w:w="120"/>
            </w:tcMar>
            <w:vAlign w:val="center"/>
          </w:tcPr>
          <w:p>
            <w:pPr>
              <w:spacing w:line="260"/>
            </w:pPr>
            <w:r>
              <w:rPr>
                <w:b w:val="false"/>
                <w:bCs w:val="false"/>
                <w:color w:val="000000"/>
                <w:sz w:val="19"/>
                <w:szCs w:val="19"/>
              </w:rPr>
              <w:t xml:space="preserve">4 of 4, in some form</w:t>
            </w:r>
          </w:p>
        </w:tc>
      </w:tr>
      <w:tr>
        <w:tc>
          <w:tcPr>
            <w:tcW w:type="pct" w:w="30%"/>
            <w:tcMar>
              <w:top w:type="dxa" w:w="100"/>
              <w:left w:type="dxa" w:w="120"/>
              <w:bottom w:type="dxa" w:w="100"/>
              <w:right w:type="dxa" w:w="120"/>
            </w:tcMar>
            <w:vAlign w:val="center"/>
          </w:tcPr>
          <w:p>
            <w:pPr>
              <w:spacing w:line="260"/>
            </w:pPr>
            <w:r>
              <w:rPr>
                <w:b w:val="false"/>
                <w:bCs w:val="false"/>
                <w:color w:val="000000"/>
                <w:sz w:val="19"/>
                <w:szCs w:val="19"/>
              </w:rPr>
              <w:t xml:space="preserve">What's the one thing to fix?</w:t>
            </w:r>
          </w:p>
        </w:tc>
        <w:tc>
          <w:tcPr>
            <w:tcW w:type="pct" w:w="45%"/>
            <w:tcMar>
              <w:top w:type="dxa" w:w="100"/>
              <w:left w:type="dxa" w:w="120"/>
              <w:bottom w:type="dxa" w:w="100"/>
              <w:right w:type="dxa" w:w="120"/>
            </w:tcMar>
            <w:vAlign w:val="center"/>
          </w:tcPr>
          <w:p>
            <w:pPr>
              <w:spacing w:line="260"/>
            </w:pPr>
            <w:r>
              <w:rPr>
                <w:b w:val="false"/>
                <w:bCs w:val="false"/>
                <w:color w:val="000000"/>
                <w:sz w:val="19"/>
                <w:szCs w:val="19"/>
              </w:rPr>
              <w:t xml:space="preserve">A faster, simpler approval process</w:t>
            </w:r>
          </w:p>
        </w:tc>
        <w:tc>
          <w:tcPr>
            <w:tcW w:type="pct" w:w="25%"/>
            <w:tcMar>
              <w:top w:type="dxa" w:w="100"/>
              <w:left w:type="dxa" w:w="120"/>
              <w:bottom w:type="dxa" w:w="100"/>
              <w:right w:type="dxa" w:w="120"/>
            </w:tcMar>
            <w:vAlign w:val="center"/>
          </w:tcPr>
          <w:p>
            <w:pPr>
              <w:spacing w:line="260"/>
            </w:pPr>
            <w:r>
              <w:rPr>
                <w:b w:val="false"/>
                <w:bCs w:val="false"/>
                <w:color w:val="000000"/>
                <w:sz w:val="19"/>
                <w:szCs w:val="19"/>
              </w:rPr>
              <w:t xml:space="preserve">4 of 4</w:t>
            </w:r>
          </w:p>
        </w:tc>
      </w:tr>
    </w:tbl>
    <w:p>
      <w:pPr>
        <w:spacing w:after="150"/>
      </w:pPr>
    </w:p>
    <w:p>
      <w:pPr>
        <w:pBdr>
          <w:left w:val="single" w:color="999999" w:sz="12" w:space="8"/>
        </w:pBdr>
        <w:spacing w:after="160" w:before="100" w:line="300"/>
        <w:ind w:left="504"/>
      </w:pPr>
      <w:r>
        <w:rPr>
          <w:i/>
          <w:iCs/>
        </w:rPr>
        <w:t xml:space="preserve">"There are many issues happen and finally it is delayed to get the payment in time."</w:t>
      </w:r>
      <w:r>
        <w:rPr>
          <w:b/>
          <w:bCs/>
          <w:i/>
          <w:iCs/>
        </w:rPr>
        <w:t xml:space="preserve">  — Survey respondent 1, Procurement</w:t>
      </w:r>
    </w:p>
    <w:p>
      <w:pPr>
        <w:pBdr>
          <w:left w:val="single" w:color="999999" w:sz="12" w:space="8"/>
        </w:pBdr>
        <w:spacing w:after="160" w:before="100" w:line="300"/>
        <w:ind w:left="504"/>
      </w:pPr>
      <w:r>
        <w:rPr>
          <w:i/>
          <w:iCs/>
        </w:rPr>
        <w:t xml:space="preserve">"Being asked for the same documents multiple times, Not knowing who to contact for updates, Unclear instructions on what was needed, Slow response times to questions."</w:t>
      </w:r>
      <w:r>
        <w:rPr>
          <w:b/>
          <w:bCs/>
          <w:i/>
          <w:iCs/>
        </w:rPr>
        <w:t xml:space="preserve">  — Survey respondent 3, Procurement (IT purchasing)</w:t>
      </w:r>
    </w:p>
    <w:p>
      <w:pPr>
        <w:pBdr>
          <w:left w:val="single" w:color="999999" w:sz="12" w:space="8"/>
        </w:pBdr>
        <w:spacing w:after="160" w:before="100" w:line="300"/>
        <w:ind w:left="504"/>
      </w:pPr>
      <w:r>
        <w:rPr>
          <w:i/>
          <w:iCs/>
        </w:rPr>
        <w:t xml:space="preserve">"Hidden compliance check or security audit at the very last step."</w:t>
      </w:r>
      <w:r>
        <w:rPr>
          <w:b/>
          <w:bCs/>
          <w:i/>
          <w:iCs/>
        </w:rPr>
        <w:t xml:space="preserve">  — Survey respondent 4, Finance, describing their single most frustrating moment</w:t>
      </w:r>
    </w:p>
    <w:p>
      <w:pPr>
        <w:pBdr>
          <w:left w:val="single" w:color="999999" w:sz="12" w:space="8"/>
        </w:pBdr>
        <w:spacing w:after="160" w:before="100" w:line="300"/>
        <w:ind w:left="504"/>
      </w:pPr>
      <w:r>
        <w:rPr>
          <w:i/>
          <w:iCs/>
        </w:rPr>
        <w:t xml:space="preserve">"Mandatory multi-step approval workflow for low-risk, routine purchase orders."</w:t>
      </w:r>
      <w:r>
        <w:rPr>
          <w:b/>
          <w:bCs/>
          <w:i/>
          <w:iCs/>
        </w:rPr>
        <w:t xml:space="preserve">  — Survey respondent 4, naming the one thing they would delete</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Every single pattern in this tiny survey lines up with the secondary research: stuck approvals, unclear ownership, repeated document requests, and a wish for lighter-touch handling of small, low-risk purchases. Four small answers, and they all point the same direction as everything else in this document.</w:t>
            </w:r>
          </w:p>
        </w:tc>
      </w:tr>
    </w:tbl>
    <w:p>
      <w:pPr>
        <w:spacing w:after="160" w:before="80" w:line="300"/>
      </w:pPr>
      <w:r>
        <w:rPr>
          <w:b/>
          <w:bCs/>
          <w:color w:val="B02A2A"/>
        </w:rPr>
        <w:t xml:space="preserve">⚠️ Four responses is a very small sample. It is enough to spot a pattern worth testing further, not enough to call it proven. All four responses also come from the buying side of the table; we have no vendor-side survey voice to weigh against them, only the one interview.</w:t>
      </w:r>
    </w:p>
    <w:p>
      <w:r>
        <w:br w:type="page"/>
      </w:r>
    </w:p>
    <w:p>
      <w:pPr>
        <w:pStyle w:val="Heading1"/>
        <w:spacing w:after="200" w:before="400"/>
      </w:pPr>
      <w:r>
        <w:t xml:space="preserve">5. Why Hasn't Someone Already Fixed This?</w:t>
      </w:r>
    </w:p>
    <w:p>
      <w:pPr>
        <w:spacing w:after="160" w:line="300"/>
      </w:pPr>
      <w:r>
        <w:rPr>
          <w:b w:val="false"/>
          <w:bCs w:val="false"/>
          <w:i w:val="false"/>
          <w:iCs w:val="false"/>
        </w:rPr>
        <w:t xml:space="preserve">The research team reviewed 34 existing products. The short answer: everyone is fixing one slice of the problem, and nobody is fixing the seam between the slices.</w:t>
      </w:r>
    </w:p>
    <w:p>
      <w:pPr>
        <w:pStyle w:val="ListParagraph"/>
        <w:numPr>
          <w:ilvl w:val="0"/>
          <w:numId w:val="1"/>
        </w:numPr>
        <w:spacing w:after="100" w:line="300"/>
      </w:pPr>
      <w:r>
        <w:t xml:space="preserve">Big suites like SAP Ariba, Coupa, Oracle, GEP, and Ivalua are built for large companies. They take six to eighteen months to set up and treat onboarding as a small piece of a much bigger tool.</w:t>
      </w:r>
    </w:p>
    <w:p>
      <w:pPr>
        <w:pStyle w:val="ListParagraph"/>
        <w:numPr>
          <w:ilvl w:val="0"/>
          <w:numId w:val="1"/>
        </w:numPr>
        <w:spacing w:after="100" w:line="300"/>
      </w:pPr>
      <w:r>
        <w:t xml:space="preserve">Risk and compliance tools like Certa, UpGuard, and Venminder only check security or compliance risk. They don't touch banking setup, contracts, or the vendor's own experience at all.</w:t>
      </w:r>
    </w:p>
    <w:p>
      <w:pPr>
        <w:pStyle w:val="ListParagraph"/>
        <w:numPr>
          <w:ilvl w:val="0"/>
          <w:numId w:val="1"/>
        </w:numPr>
        <w:spacing w:after="100" w:line="300"/>
      </w:pPr>
      <w:r>
        <w:t xml:space="preserve">New "front door" challengers like Zip, ORO Labs, and Omnea are the fastest-growing group in this market, and are explicitly trying to solve Problem 2 above. That itself is proof the front-door problem is real and worth money. But they are new, mostly unproven at mid-market prices, and mostly built around U.S. software spending.</w:t>
      </w:r>
    </w:p>
    <w:p>
      <w:pPr>
        <w:pStyle w:val="ListParagraph"/>
        <w:numPr>
          <w:ilvl w:val="0"/>
          <w:numId w:val="1"/>
        </w:numPr>
        <w:spacing w:after="100" w:line="300"/>
      </w:pPr>
      <w:r>
        <w:t xml:space="preserve">Not one of the 34 products reviewed genuinely connects Business, Finance, Legal, and IT or Security into a single onboarding flow. Every one of them specializes in a single team's slice.</w:t>
      </w:r>
    </w:p>
    <w:tbl>
      <w:tblPr>
        <w:tblW w:type="pct" w:w="100%"/>
        <w:tblBorders>
          <w:top w:val="single" w:color="D9A400" w:sz="4"/>
          <w:left w:val="single" w:color="D9A400" w:sz="4"/>
          <w:bottom w:val="single" w:color="D9A400" w:sz="4"/>
          <w:right w:val="single" w:color="D9A400" w:sz="4"/>
          <w:insideH w:val="none"/>
          <w:insideV w:val="none"/>
        </w:tblBorders>
      </w:tblPr>
      <w:tblGrid>
        <w:gridCol w:w="100"/>
      </w:tblGrid>
      <w:tr>
        <w:tc>
          <w:tcPr>
            <w:tcW w:type="pct" w:w="100%"/>
            <w:shd w:fill="FFF6DE" w:val="clear"/>
            <w:tcMar>
              <w:top w:type="dxa" w:w="150"/>
              <w:left w:type="dxa" w:w="200"/>
              <w:bottom w:type="dxa" w:w="150"/>
              <w:right w:type="dxa" w:w="200"/>
            </w:tcMar>
          </w:tcPr>
          <w:p>
            <w:pPr>
              <w:spacing w:line="300"/>
            </w:pPr>
            <w:r>
              <w:rPr>
                <w:b/>
                <w:bCs/>
              </w:rPr>
              <w:t xml:space="preserve">SO WHAT: </w:t>
            </w:r>
            <w:r>
              <w:t xml:space="preserve">This gap is not sitting unnoticed. Well-funded competitors are already circling it. That is proof the opportunity is real, and a signal that speed now matters more than perfect scope.</w:t>
            </w:r>
          </w:p>
        </w:tc>
      </w:tr>
    </w:tbl>
    <w:p>
      <w:pPr>
        <w:spacing w:after="220" w:before="60"/>
      </w:pPr>
      <w:r>
        <w:rPr>
          <w:b/>
          <w:bCs/>
          <w:color w:val="666666"/>
          <w:sz w:val="18"/>
          <w:szCs w:val="18"/>
        </w:rPr>
        <w:t xml:space="preserve">Source: </w:t>
      </w:r>
      <w:r>
        <w:rPr>
          <w:color w:val="666666"/>
          <w:sz w:val="18"/>
          <w:szCs w:val="18"/>
        </w:rPr>
        <w:t xml:space="preserve">Week 4 workbook, Competitive Analysis tab (34 players reviewed).</w:t>
      </w:r>
    </w:p>
    <w:p>
      <w:r>
        <w:br w:type="page"/>
      </w:r>
    </w:p>
    <w:p>
      <w:pPr>
        <w:pStyle w:val="Heading1"/>
        <w:spacing w:after="200" w:before="400"/>
      </w:pPr>
      <w:r>
        <w:t xml:space="preserve">6. What We're Not Sure About Yet</w:t>
      </w:r>
    </w:p>
    <w:p>
      <w:pPr>
        <w:spacing w:after="160" w:line="300"/>
      </w:pPr>
      <w:r>
        <w:rPr>
          <w:b w:val="false"/>
          <w:bCs w:val="false"/>
          <w:i w:val="false"/>
          <w:iCs w:val="false"/>
        </w:rPr>
        <w:t xml:space="preserve">Being honest about what we don't know is as important as reporting what we do know. Here is everything still open:</w:t>
      </w:r>
    </w:p>
    <w:p>
      <w:pPr>
        <w:spacing w:after="160" w:before="80" w:line="300"/>
      </w:pPr>
      <w:r>
        <w:rPr>
          <w:b/>
          <w:bCs/>
          <w:color w:val="B02A2A"/>
        </w:rPr>
        <w:t xml:space="preserve">⚠️ No primary research (interview or survey) captures a vendor's own voice describing what it's like to be onboarded by a mid-market buyer. Our one interview speaks from inside a buying company, not from the vendor's side of the table.</w:t>
      </w:r>
    </w:p>
    <w:p>
      <w:pPr>
        <w:spacing w:after="160" w:before="80" w:line="300"/>
      </w:pPr>
      <w:r>
        <w:rPr>
          <w:b/>
          <w:bCs/>
          <w:color w:val="B02A2A"/>
        </w:rPr>
        <w:t xml:space="preserve">⚠️ No India-specific primary research confirms the "India mid-market is underserved" finding. It currently rests on secondary research only.</w:t>
      </w:r>
    </w:p>
    <w:p>
      <w:pPr>
        <w:spacing w:after="160" w:before="80" w:line="300"/>
      </w:pPr>
      <w:r>
        <w:rPr>
          <w:b/>
          <w:bCs/>
          <w:color w:val="B02A2A"/>
        </w:rPr>
        <w:t xml:space="preserve">⚠️ The survey sample is just 4 people, and all 4 are on the buying side. This is a real pattern worth testing further, not a proven fact.</w:t>
      </w:r>
    </w:p>
    <w:p>
      <w:pPr>
        <w:spacing w:after="160" w:before="80" w:line="300"/>
      </w:pPr>
      <w:r>
        <w:rPr>
          <w:b/>
          <w:bCs/>
          <w:color w:val="B02A2A"/>
        </w:rPr>
        <w:t xml:space="preserve">⚠️ There is no single trustworthy market-size number for this product category. Seven different research firms quote figures for the same market that are roughly 8,700 times apart from each other. The researchers flagged this themselves and warned against repeating a specific market-size figure without this caveat attached.</w:t>
      </w:r>
    </w:p>
    <w:p>
      <w:pPr>
        <w:spacing w:after="160" w:before="80" w:line="300"/>
      </w:pPr>
      <w:r>
        <w:rPr>
          <w:b/>
          <w:bCs/>
          <w:color w:val="B02A2A"/>
        </w:rPr>
        <w:t xml:space="preserve">⚠️ One hypothesis (that review sites like Capterra bury vendor-onboarding tools under an "HR onboarding" label) could not be confirmed against G2 or TheNextWeb's own buyer's guide. Treat it as unverified.</w:t>
      </w:r>
    </w:p>
    <w:p>
      <w:pPr>
        <w:spacing w:after="100"/>
      </w:pPr>
    </w:p>
    <w:p>
      <w:pPr>
        <w:spacing w:after="160" w:line="300"/>
      </w:pPr>
      <w:r>
        <w:rPr>
          <w:b w:val="false"/>
          <w:bCs w:val="false"/>
          <w:i w:val="false"/>
          <w:iCs w:val="false"/>
        </w:rPr>
        <w:t xml:space="preserve">None of these gaps change the direction of the seven problems in Section 3. They mainly affect how confidently we can state exact numbers, and how far the India angle can be trusted without more legwork.</w:t>
      </w:r>
    </w:p>
    <w:p>
      <w:r>
        <w:br w:type="page"/>
      </w:r>
    </w:p>
    <w:p>
      <w:pPr>
        <w:pStyle w:val="Heading1"/>
        <w:spacing w:after="200" w:before="400"/>
      </w:pPr>
      <w:r>
        <w:t xml:space="preserve">7. Where This All Comes From</w:t>
      </w:r>
    </w:p>
    <w:p>
      <w:pPr>
        <w:spacing w:after="160" w:line="300"/>
      </w:pPr>
      <w:r>
        <w:rPr>
          <w:b w:val="false"/>
          <w:bCs w:val="false"/>
          <w:i w:val="false"/>
          <w:iCs w:val="false"/>
        </w:rPr>
        <w:t xml:space="preserve">Every fact in this document traces back to a specific file, tab, or quote. Here are the outside sources referenced most directly. The Week 4 workbook's own Reference Library tab holds over 100 additional links for deeper citation work if needed.</w:t>
      </w:r>
    </w:p>
    <w:p>
      <w:pPr>
        <w:pStyle w:val="ListParagraph"/>
        <w:numPr>
          <w:ilvl w:val="0"/>
          <w:numId w:val="1"/>
        </w:numPr>
        <w:spacing w:after="100" w:line="300"/>
      </w:pPr>
      <w:r>
        <w:t xml:space="preserve">Whistic, 2022 State of Vendor Security Report — businesswire.com/news/home/20220509005902/en</w:t>
      </w:r>
    </w:p>
    <w:p>
      <w:pPr>
        <w:pStyle w:val="ListParagraph"/>
        <w:numPr>
          <w:ilvl w:val="0"/>
          <w:numId w:val="1"/>
        </w:numPr>
        <w:spacing w:after="100" w:line="300"/>
      </w:pPr>
      <w:r>
        <w:t xml:space="preserve">Deloitte, 2025 Chief Procurement Officer Survey — deloitte.com/us/en/about/press-room/2025-chief-procurement-officer-survey.html</w:t>
      </w:r>
    </w:p>
    <w:p>
      <w:pPr>
        <w:pStyle w:val="ListParagraph"/>
        <w:numPr>
          <w:ilvl w:val="0"/>
          <w:numId w:val="1"/>
        </w:numPr>
        <w:spacing w:after="100" w:line="300"/>
      </w:pPr>
      <w:r>
        <w:t xml:space="preserve">APQC, Procure-to-Pay Cycle Time Benchmark — apqc.org/resources/benchmarking/open-standards-benchmarking/measures/average-procure-pay-cycle-time-days</w:t>
      </w:r>
    </w:p>
    <w:p>
      <w:pPr>
        <w:pStyle w:val="ListParagraph"/>
        <w:numPr>
          <w:ilvl w:val="0"/>
          <w:numId w:val="1"/>
        </w:numPr>
        <w:spacing w:after="100" w:line="300"/>
      </w:pPr>
      <w:r>
        <w:t xml:space="preserve">Gartner Magic Quadrant for Third-Party Risk Management Tools, 2026 (via OneTrust) — onetrust.com/resources/gartner-magic-quadrant-for-third-party-risk-management-tools-for-assurance-leaders-2026-report</w:t>
      </w:r>
    </w:p>
    <w:p>
      <w:pPr>
        <w:pStyle w:val="ListParagraph"/>
        <w:numPr>
          <w:ilvl w:val="0"/>
          <w:numId w:val="1"/>
        </w:numPr>
        <w:spacing w:after="100" w:line="300"/>
      </w:pPr>
      <w:r>
        <w:t xml:space="preserve">Washington State Auditor's Office, "Protect Your Vendor Master File From Fraudsters" — sao.wa.gov/the-audit-connection-blog/protect-your-vendor-master-file-fraudsters</w:t>
      </w:r>
    </w:p>
    <w:p>
      <w:pPr>
        <w:pStyle w:val="ListParagraph"/>
        <w:numPr>
          <w:ilvl w:val="0"/>
          <w:numId w:val="1"/>
        </w:numPr>
        <w:spacing w:after="100" w:line="300"/>
      </w:pPr>
      <w:r>
        <w:t xml:space="preserve">ApexAnalytix, "5 Common Supplier Onboarding Challenges" — apexanalytix.com/resources/blog/supplier-onboarding-challenges</w:t>
      </w:r>
    </w:p>
    <w:p>
      <w:pPr>
        <w:pStyle w:val="ListParagraph"/>
        <w:numPr>
          <w:ilvl w:val="0"/>
          <w:numId w:val="1"/>
        </w:numPr>
        <w:spacing w:after="100" w:line="300"/>
      </w:pPr>
      <w:r>
        <w:t xml:space="preserve">Auditive, "Vendor Onboarding Costs" — blog.auditive.io/vendor-onboarding-costs-impact-efficiency</w:t>
      </w:r>
    </w:p>
    <w:p>
      <w:pPr>
        <w:pStyle w:val="ListParagraph"/>
        <w:numPr>
          <w:ilvl w:val="0"/>
          <w:numId w:val="1"/>
        </w:numPr>
        <w:spacing w:after="100" w:line="300"/>
      </w:pPr>
      <w:r>
        <w:t xml:space="preserve">Art of Procurement, "State of AI in Procurement" — artofprocurement.com/blog/state-of-ai-in-procurement</w:t>
      </w:r>
    </w:p>
    <w:p>
      <w:pPr>
        <w:pStyle w:val="ListParagraph"/>
        <w:numPr>
          <w:ilvl w:val="0"/>
          <w:numId w:val="1"/>
        </w:numPr>
        <w:spacing w:after="100" w:line="300"/>
      </w:pPr>
      <w:r>
        <w:t xml:space="preserve">Stripe, "Supplier and Vendor Onboarding" guide — stripe.com/resources/more/supplier-and-vendor-onboarding</w:t>
      </w:r>
    </w:p>
    <w:p>
      <w:pPr>
        <w:pStyle w:val="ListParagraph"/>
        <w:numPr>
          <w:ilvl w:val="0"/>
          <w:numId w:val="1"/>
        </w:numPr>
        <w:spacing w:after="100" w:line="300"/>
      </w:pPr>
      <w:r>
        <w:t xml:space="preserve">TheNextWeb, 2026 supplier-management software buyer's guide — thenextweb.com/news/best-supplier-management-software-2026</w:t>
      </w:r>
    </w:p>
    <w:p>
      <w:pPr>
        <w:spacing w:after="150"/>
      </w:pPr>
    </w:p>
    <w:p>
      <w:pPr>
        <w:pStyle w:val="Heading2"/>
        <w:spacing w:after="150" w:before="300"/>
      </w:pPr>
      <w:r>
        <w:t xml:space="preserve">Primary sources (our own research)</w:t>
      </w:r>
    </w:p>
    <w:p>
      <w:pPr>
        <w:pStyle w:val="ListParagraph"/>
        <w:numPr>
          <w:ilvl w:val="0"/>
          <w:numId w:val="1"/>
        </w:numPr>
        <w:spacing w:after="100" w:line="300"/>
      </w:pPr>
      <w:r>
        <w:t xml:space="preserve">Phone-interview.docx and its matching raw transcript — real interview, vendor management professional</w:t>
      </w:r>
    </w:p>
    <w:p>
      <w:pPr>
        <w:pStyle w:val="ListParagraph"/>
        <w:numPr>
          <w:ilvl w:val="0"/>
          <w:numId w:val="1"/>
        </w:numPr>
        <w:spacing w:after="100" w:line="300"/>
      </w:pPr>
      <w:r>
        <w:t xml:space="preserve">Vendor Onboarding Feedback Survey (Responses).xlsx, Vendor Onboarding Feedback Survey.csv, and the matching Google Forms PDF — 4 real survey responses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2026-08-05T18:17:37.476Z</dcterms:created>
  <dcterms:modified xsi:type="dcterms:W3CDTF">2026-08-05T18:17:37.477Z</dcterms:modified>
</cp:coreProperties>
</file>

<file path=docProps/custom.xml><?xml version="1.0" encoding="utf-8"?>
<Properties xmlns="http://schemas.openxmlformats.org/officeDocument/2006/custom-properties" xmlns:vt="http://schemas.openxmlformats.org/officeDocument/2006/docPropsVTypes"/>
</file>