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5"/>
      </w:tblGrid>
      <w:tr w:rsidR="006240D7" w:rsidRPr="006240D7" w14:paraId="14299576" w14:textId="77777777" w:rsidTr="006240D7">
        <w:trPr>
          <w:trHeight w:val="851"/>
        </w:trPr>
        <w:tc>
          <w:tcPr>
            <w:tcW w:w="4508" w:type="dxa"/>
            <w:hideMark/>
          </w:tcPr>
          <w:p w14:paraId="53022180" w14:textId="77777777" w:rsidR="006240D7" w:rsidRPr="006240D7" w:rsidRDefault="006240D7" w:rsidP="006240D7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  <w:lang w:val="en-GB"/>
              </w:rPr>
              <w:t>Name:     Muhammad Ali Ahmad</w:t>
            </w:r>
          </w:p>
        </w:tc>
        <w:tc>
          <w:tcPr>
            <w:tcW w:w="4508" w:type="dxa"/>
            <w:hideMark/>
          </w:tcPr>
          <w:p w14:paraId="13CC0006" w14:textId="77777777" w:rsidR="006240D7" w:rsidRPr="006240D7" w:rsidRDefault="006240D7" w:rsidP="006240D7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  <w:lang w:val="en-GB"/>
              </w:rPr>
              <w:t>EE-272L Digital Systems Design</w:t>
            </w:r>
          </w:p>
        </w:tc>
      </w:tr>
      <w:tr w:rsidR="006240D7" w:rsidRPr="006240D7" w14:paraId="07CEF088" w14:textId="77777777" w:rsidTr="006240D7">
        <w:trPr>
          <w:trHeight w:val="717"/>
        </w:trPr>
        <w:tc>
          <w:tcPr>
            <w:tcW w:w="4508" w:type="dxa"/>
            <w:hideMark/>
          </w:tcPr>
          <w:p w14:paraId="1A579AF3" w14:textId="77777777" w:rsidR="006240D7" w:rsidRPr="006240D7" w:rsidRDefault="006240D7" w:rsidP="006240D7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  <w:lang w:val="en-GB"/>
              </w:rPr>
              <w:t>Reg. No.: 2023-EE-029</w:t>
            </w:r>
          </w:p>
        </w:tc>
        <w:tc>
          <w:tcPr>
            <w:tcW w:w="4508" w:type="dxa"/>
            <w:hideMark/>
          </w:tcPr>
          <w:p w14:paraId="2DE00FE8" w14:textId="77777777" w:rsidR="006240D7" w:rsidRPr="006240D7" w:rsidRDefault="006240D7" w:rsidP="006240D7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  <w:lang w:val="en-GB"/>
              </w:rPr>
              <w:t>Marks Obtained:  ____________</w:t>
            </w:r>
          </w:p>
        </w:tc>
      </w:tr>
    </w:tbl>
    <w:p w14:paraId="24EFE267" w14:textId="453B9D66" w:rsidR="006240D7" w:rsidRPr="006240D7" w:rsidRDefault="006240D7" w:rsidP="006240D7">
      <w:pPr>
        <w:rPr>
          <w:sz w:val="20"/>
          <w:szCs w:val="20"/>
          <w:lang w:val="en-GB"/>
        </w:rPr>
      </w:pPr>
      <w:r w:rsidRPr="006240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D3D36" wp14:editId="1D01407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120370369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14672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6240D7" w:rsidRPr="006240D7" w14:paraId="5F125066" w14:textId="77777777" w:rsidTr="006240D7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21CD6116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DSD Lab Manual Evaluation Rubrics</w:t>
            </w:r>
          </w:p>
        </w:tc>
      </w:tr>
      <w:tr w:rsidR="006240D7" w:rsidRPr="006240D7" w14:paraId="3FFA9034" w14:textId="77777777" w:rsidTr="006240D7">
        <w:trPr>
          <w:trHeight w:val="304"/>
        </w:trPr>
        <w:tc>
          <w:tcPr>
            <w:tcW w:w="1577" w:type="dxa"/>
            <w:noWrap/>
            <w:vAlign w:val="bottom"/>
            <w:hideMark/>
          </w:tcPr>
          <w:p w14:paraId="5CA336DD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6" w:type="dxa"/>
            <w:noWrap/>
            <w:vAlign w:val="bottom"/>
            <w:hideMark/>
          </w:tcPr>
          <w:p w14:paraId="7C7CA601" w14:textId="77777777" w:rsidR="006240D7" w:rsidRPr="006240D7" w:rsidRDefault="006240D7" w:rsidP="006240D7">
            <w:pPr>
              <w:rPr>
                <w:sz w:val="20"/>
                <w:szCs w:val="20"/>
              </w:rPr>
            </w:pPr>
          </w:p>
        </w:tc>
        <w:tc>
          <w:tcPr>
            <w:tcW w:w="1335" w:type="dxa"/>
            <w:noWrap/>
            <w:vAlign w:val="bottom"/>
            <w:hideMark/>
          </w:tcPr>
          <w:p w14:paraId="54F97FE1" w14:textId="77777777" w:rsidR="006240D7" w:rsidRPr="006240D7" w:rsidRDefault="006240D7" w:rsidP="006240D7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14:paraId="02ABBCF9" w14:textId="77777777" w:rsidR="006240D7" w:rsidRPr="006240D7" w:rsidRDefault="006240D7" w:rsidP="006240D7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14:paraId="117D54F5" w14:textId="77777777" w:rsidR="006240D7" w:rsidRPr="006240D7" w:rsidRDefault="006240D7" w:rsidP="006240D7">
            <w:pPr>
              <w:rPr>
                <w:sz w:val="20"/>
                <w:szCs w:val="20"/>
              </w:rPr>
            </w:pPr>
          </w:p>
        </w:tc>
        <w:tc>
          <w:tcPr>
            <w:tcW w:w="1839" w:type="dxa"/>
            <w:noWrap/>
            <w:vAlign w:val="bottom"/>
            <w:hideMark/>
          </w:tcPr>
          <w:p w14:paraId="1030ECD6" w14:textId="77777777" w:rsidR="006240D7" w:rsidRPr="006240D7" w:rsidRDefault="006240D7" w:rsidP="006240D7">
            <w:pPr>
              <w:rPr>
                <w:sz w:val="20"/>
                <w:szCs w:val="20"/>
              </w:rPr>
            </w:pPr>
          </w:p>
        </w:tc>
      </w:tr>
      <w:tr w:rsidR="006240D7" w:rsidRPr="006240D7" w14:paraId="0DE29184" w14:textId="77777777" w:rsidTr="006240D7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AF927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513FA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C2A3E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7D9737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EFB37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E98257A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70-100%</w:t>
            </w:r>
          </w:p>
        </w:tc>
      </w:tr>
      <w:tr w:rsidR="006240D7" w:rsidRPr="006240D7" w14:paraId="5ED9819F" w14:textId="77777777" w:rsidTr="006240D7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52069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Code Organization</w:t>
            </w:r>
            <w:r w:rsidRPr="006240D7">
              <w:rPr>
                <w:sz w:val="20"/>
                <w:szCs w:val="20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94379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3EF2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1700D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</w:rPr>
              <w:t>No Proper Indentation and descriptive naming, no code organization</w:t>
            </w:r>
            <w:r w:rsidRPr="006240D7">
              <w:rPr>
                <w:sz w:val="20"/>
                <w:szCs w:val="20"/>
                <w:lang w:val="en-GB"/>
              </w:rPr>
              <w:t>.</w:t>
            </w:r>
          </w:p>
          <w:p w14:paraId="52448E05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</w:p>
          <w:p w14:paraId="2B0933DA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70A77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</w:rPr>
              <w:t>Proper Indentation or descriptive naming or code organization</w:t>
            </w:r>
            <w:r w:rsidRPr="006240D7">
              <w:rPr>
                <w:sz w:val="20"/>
                <w:szCs w:val="20"/>
                <w:lang w:val="en-GB"/>
              </w:rPr>
              <w:t>.</w:t>
            </w:r>
          </w:p>
          <w:p w14:paraId="5DF929A8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</w:p>
          <w:p w14:paraId="3ABFF53D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12FEB84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</w:rPr>
              <w:t>Proper Indentation and descriptive naming, code organization</w:t>
            </w:r>
            <w:r w:rsidRPr="006240D7">
              <w:rPr>
                <w:sz w:val="20"/>
                <w:szCs w:val="20"/>
                <w:lang w:val="en-GB"/>
              </w:rPr>
              <w:t>.</w:t>
            </w:r>
          </w:p>
          <w:p w14:paraId="566B164C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</w:p>
          <w:p w14:paraId="65433873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Complete understanding, and proper working</w:t>
            </w:r>
          </w:p>
        </w:tc>
      </w:tr>
      <w:tr w:rsidR="006240D7" w:rsidRPr="006240D7" w14:paraId="20F347D6" w14:textId="77777777" w:rsidTr="006240D7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958A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Simulation</w:t>
            </w:r>
            <w:r w:rsidRPr="006240D7">
              <w:rPr>
                <w:sz w:val="20"/>
                <w:szCs w:val="20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BB4BD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75D3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1FE36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404B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 xml:space="preserve">Working simulation with errors, don't </w:t>
            </w:r>
            <w:proofErr w:type="spellStart"/>
            <w:r w:rsidRPr="006240D7">
              <w:rPr>
                <w:sz w:val="20"/>
                <w:szCs w:val="20"/>
              </w:rPr>
              <w:t>cares's</w:t>
            </w:r>
            <w:proofErr w:type="spellEnd"/>
            <w:r w:rsidRPr="006240D7">
              <w:rPr>
                <w:sz w:val="20"/>
                <w:szCs w:val="20"/>
              </w:rPr>
              <w:t>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1D985EA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 xml:space="preserve">Working simulation without any errors, </w:t>
            </w:r>
            <w:proofErr w:type="spellStart"/>
            <w:r w:rsidRPr="006240D7">
              <w:rPr>
                <w:sz w:val="20"/>
                <w:szCs w:val="20"/>
              </w:rPr>
              <w:t>etc</w:t>
            </w:r>
            <w:proofErr w:type="spellEnd"/>
            <w:r w:rsidRPr="006240D7">
              <w:rPr>
                <w:sz w:val="20"/>
                <w:szCs w:val="20"/>
              </w:rPr>
              <w:t xml:space="preserve"> and complete understanding of waveforms</w:t>
            </w:r>
          </w:p>
        </w:tc>
      </w:tr>
      <w:tr w:rsidR="006240D7" w:rsidRPr="006240D7" w14:paraId="34A820E7" w14:textId="77777777" w:rsidTr="006240D7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017B0D0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FPGA</w:t>
            </w:r>
            <w:r w:rsidRPr="006240D7">
              <w:rPr>
                <w:sz w:val="20"/>
                <w:szCs w:val="20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7E6EDC3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13C0F49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82314E6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4E589EF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94926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Correctly Implemented on FPGA and questions related to synthesis and implementation answered.</w:t>
            </w:r>
          </w:p>
        </w:tc>
      </w:tr>
    </w:tbl>
    <w:p w14:paraId="31031F8D" w14:textId="77777777" w:rsidR="006240D7" w:rsidRPr="006240D7" w:rsidRDefault="006240D7" w:rsidP="006240D7">
      <w:pPr>
        <w:rPr>
          <w:b/>
          <w:bCs/>
          <w:sz w:val="20"/>
          <w:szCs w:val="20"/>
          <w:lang w:val="en-GB"/>
        </w:rPr>
      </w:pPr>
    </w:p>
    <w:p w14:paraId="64FBB64D" w14:textId="77777777" w:rsidR="00DB0795" w:rsidRDefault="00DB0795">
      <w:pPr>
        <w:rPr>
          <w:sz w:val="20"/>
          <w:szCs w:val="20"/>
        </w:rPr>
      </w:pPr>
    </w:p>
    <w:p w14:paraId="50FFFB48" w14:textId="77777777" w:rsidR="004438FA" w:rsidRDefault="004438FA">
      <w:pPr>
        <w:rPr>
          <w:sz w:val="20"/>
          <w:szCs w:val="20"/>
        </w:rPr>
      </w:pPr>
    </w:p>
    <w:p w14:paraId="4FA52E0A" w14:textId="77777777" w:rsidR="004438FA" w:rsidRDefault="004438FA">
      <w:pPr>
        <w:rPr>
          <w:sz w:val="20"/>
          <w:szCs w:val="20"/>
        </w:rPr>
      </w:pPr>
    </w:p>
    <w:p w14:paraId="60BEE945" w14:textId="77777777" w:rsidR="004438FA" w:rsidRDefault="004438FA">
      <w:pPr>
        <w:rPr>
          <w:sz w:val="20"/>
          <w:szCs w:val="20"/>
        </w:rPr>
      </w:pPr>
    </w:p>
    <w:p w14:paraId="261E2EFE" w14:textId="1E094959" w:rsidR="004438FA" w:rsidRDefault="004438FA" w:rsidP="004438FA">
      <w:pPr>
        <w:jc w:val="center"/>
        <w:rPr>
          <w:b/>
          <w:bCs/>
          <w:sz w:val="44"/>
          <w:szCs w:val="44"/>
          <w:u w:val="single"/>
        </w:rPr>
      </w:pPr>
      <w:r w:rsidRPr="004438FA">
        <w:rPr>
          <w:b/>
          <w:bCs/>
          <w:sz w:val="44"/>
          <w:szCs w:val="44"/>
          <w:u w:val="single"/>
        </w:rPr>
        <w:lastRenderedPageBreak/>
        <w:t>LAB 2</w:t>
      </w:r>
    </w:p>
    <w:p w14:paraId="38B34689" w14:textId="1B224169" w:rsidR="004438FA" w:rsidRDefault="004438FA" w:rsidP="004438F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01AC" w14:paraId="0F561819" w14:textId="77777777" w:rsidTr="003001AC">
        <w:tc>
          <w:tcPr>
            <w:tcW w:w="1870" w:type="dxa"/>
          </w:tcPr>
          <w:p w14:paraId="29861D5E" w14:textId="08A34822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1921650F" w14:textId="7B12EBBB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312EB5FC" w14:textId="1A72DF82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68084D9A" w14:textId="43F5482E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2195EA9C" w14:textId="33DEF144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3001AC" w14:paraId="6A5FE62C" w14:textId="77777777" w:rsidTr="003001AC">
        <w:tc>
          <w:tcPr>
            <w:tcW w:w="1870" w:type="dxa"/>
          </w:tcPr>
          <w:p w14:paraId="74E73E1C" w14:textId="378C30D0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646BFDD" w14:textId="7564960C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33B7FB0" w14:textId="44ECC7A4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C9E6D2F" w14:textId="19F73C62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4CF93A4" w14:textId="59C8A4A4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01AC" w14:paraId="0430FB87" w14:textId="77777777" w:rsidTr="003001AC">
        <w:tc>
          <w:tcPr>
            <w:tcW w:w="1870" w:type="dxa"/>
          </w:tcPr>
          <w:p w14:paraId="7C0E1FE4" w14:textId="18395BC7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4EA5BF9" w14:textId="2EDD2DCA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DD739E5" w14:textId="4AB3A95B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4D4E93E" w14:textId="3CD438F8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704F4D3" w14:textId="016112CE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01AC" w14:paraId="25910396" w14:textId="77777777" w:rsidTr="003001AC">
        <w:tc>
          <w:tcPr>
            <w:tcW w:w="1870" w:type="dxa"/>
          </w:tcPr>
          <w:p w14:paraId="662E1859" w14:textId="6B82AE51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168F1EA" w14:textId="763279B8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21560D9" w14:textId="6974EC89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9311936" w14:textId="5FEED6BB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BA0DED2" w14:textId="041B198B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01AC" w14:paraId="08DF63E3" w14:textId="77777777" w:rsidTr="003001AC">
        <w:tc>
          <w:tcPr>
            <w:tcW w:w="1870" w:type="dxa"/>
          </w:tcPr>
          <w:p w14:paraId="47434BDC" w14:textId="0F664F24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BC223DD" w14:textId="097471CC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1E6D988" w14:textId="45A333DD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034272C" w14:textId="3BEF21C2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BCFAAFD" w14:textId="1EAF9F86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01AC" w14:paraId="55BC2262" w14:textId="77777777" w:rsidTr="003001AC">
        <w:tc>
          <w:tcPr>
            <w:tcW w:w="1870" w:type="dxa"/>
          </w:tcPr>
          <w:p w14:paraId="7D07A2E0" w14:textId="62F6D957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9005A0C" w14:textId="533E4C97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D8B3CC7" w14:textId="210974F0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1A75D89" w14:textId="68B0BA2B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CBC0FEE" w14:textId="37EF0905" w:rsidR="003001AC" w:rsidRDefault="00FF1943" w:rsidP="00FF1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01AC" w14:paraId="72DDA49F" w14:textId="77777777" w:rsidTr="003001AC">
        <w:tc>
          <w:tcPr>
            <w:tcW w:w="1870" w:type="dxa"/>
          </w:tcPr>
          <w:p w14:paraId="7A3C39B9" w14:textId="32FCC077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37F6B69" w14:textId="180D2083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A488910" w14:textId="02D7D1E4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BBF16A2" w14:textId="110FBD52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CD42D60" w14:textId="6839CDB8" w:rsidR="003001AC" w:rsidRDefault="00FF1943" w:rsidP="00FF1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01AC" w14:paraId="5E9FE7CB" w14:textId="77777777" w:rsidTr="003001AC">
        <w:tc>
          <w:tcPr>
            <w:tcW w:w="1870" w:type="dxa"/>
          </w:tcPr>
          <w:p w14:paraId="4DBD1309" w14:textId="25705140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9901D67" w14:textId="4AA50B65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8C4F027" w14:textId="2C9BBBDF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63DEC0D" w14:textId="23DEA033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0956711" w14:textId="0C9601EF" w:rsidR="003001AC" w:rsidRDefault="00FF1943" w:rsidP="00FF1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F1943" w14:paraId="20C258EB" w14:textId="77777777" w:rsidTr="003001AC">
        <w:tc>
          <w:tcPr>
            <w:tcW w:w="1870" w:type="dxa"/>
          </w:tcPr>
          <w:p w14:paraId="40142AAE" w14:textId="5AD9ECF7" w:rsidR="00FF1943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0B62C80" w14:textId="38B2F84F" w:rsidR="00FF1943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7D61BCB" w14:textId="6D831BA6" w:rsidR="00FF1943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BF506CC" w14:textId="2EB47ADA" w:rsidR="00FF1943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212A7F7" w14:textId="71D4EB7D" w:rsidR="00FF1943" w:rsidRDefault="00FF1943" w:rsidP="00FF1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755B4DB" w14:textId="77777777" w:rsidR="003001AC" w:rsidRDefault="003001AC" w:rsidP="003001AC">
      <w:pPr>
        <w:jc w:val="center"/>
        <w:rPr>
          <w:sz w:val="24"/>
          <w:szCs w:val="24"/>
        </w:rPr>
      </w:pPr>
    </w:p>
    <w:p w14:paraId="6ED30FA1" w14:textId="05ACFE75" w:rsidR="0050142F" w:rsidRDefault="0050142F" w:rsidP="0050142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 2:</w:t>
      </w:r>
    </w:p>
    <w:p w14:paraId="228DF1BC" w14:textId="47262676" w:rsidR="0050142F" w:rsidRDefault="0050142F" w:rsidP="0050142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D9E5A28" wp14:editId="28E7BE77">
            <wp:extent cx="5943600" cy="2991485"/>
            <wp:effectExtent l="0" t="0" r="0" b="0"/>
            <wp:docPr id="87622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2221" name="Picture 87622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2C44" w14:textId="0EF5CA1B" w:rsidR="0050142F" w:rsidRPr="0050142F" w:rsidRDefault="0050142F" w:rsidP="0050142F">
      <w:pPr>
        <w:rPr>
          <w:sz w:val="24"/>
          <w:szCs w:val="24"/>
        </w:rPr>
      </w:pPr>
      <w:r>
        <w:rPr>
          <w:sz w:val="24"/>
          <w:szCs w:val="24"/>
        </w:rPr>
        <w:t xml:space="preserve">The above circuit is the schematic from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>.</w:t>
      </w:r>
      <w:r w:rsidR="00A01119">
        <w:rPr>
          <w:sz w:val="24"/>
          <w:szCs w:val="24"/>
        </w:rPr>
        <w:t xml:space="preserve"> For not gate </w:t>
      </w:r>
      <w:proofErr w:type="spellStart"/>
      <w:r w:rsidR="00A01119">
        <w:rPr>
          <w:sz w:val="24"/>
          <w:szCs w:val="24"/>
        </w:rPr>
        <w:t>Vivado</w:t>
      </w:r>
      <w:proofErr w:type="spellEnd"/>
      <w:r w:rsidR="00A01119">
        <w:rPr>
          <w:sz w:val="24"/>
          <w:szCs w:val="24"/>
        </w:rPr>
        <w:t xml:space="preserve"> didn’t used the gate diagram of the not gate however </w:t>
      </w:r>
      <w:proofErr w:type="spellStart"/>
      <w:r w:rsidR="00A01119">
        <w:rPr>
          <w:sz w:val="24"/>
          <w:szCs w:val="24"/>
        </w:rPr>
        <w:t>vivado</w:t>
      </w:r>
      <w:proofErr w:type="spellEnd"/>
      <w:r w:rsidR="00A01119">
        <w:rPr>
          <w:sz w:val="24"/>
          <w:szCs w:val="24"/>
        </w:rPr>
        <w:t xml:space="preserve"> represented that with the bubble which means not of the input. </w:t>
      </w:r>
    </w:p>
    <w:p w14:paraId="68BC6446" w14:textId="77777777" w:rsidR="00A339E3" w:rsidRDefault="00A339E3" w:rsidP="004438FA">
      <w:pPr>
        <w:rPr>
          <w:b/>
          <w:bCs/>
          <w:sz w:val="24"/>
          <w:szCs w:val="24"/>
          <w:u w:val="single"/>
        </w:rPr>
      </w:pPr>
    </w:p>
    <w:p w14:paraId="5BA4034C" w14:textId="77777777" w:rsidR="00A339E3" w:rsidRDefault="00A339E3" w:rsidP="004438FA">
      <w:pPr>
        <w:rPr>
          <w:b/>
          <w:bCs/>
          <w:sz w:val="24"/>
          <w:szCs w:val="24"/>
          <w:u w:val="single"/>
        </w:rPr>
      </w:pPr>
    </w:p>
    <w:p w14:paraId="56AF06A4" w14:textId="77777777" w:rsidR="00A339E3" w:rsidRDefault="00A339E3" w:rsidP="004438FA">
      <w:pPr>
        <w:rPr>
          <w:b/>
          <w:bCs/>
          <w:sz w:val="24"/>
          <w:szCs w:val="24"/>
          <w:u w:val="single"/>
        </w:rPr>
      </w:pPr>
    </w:p>
    <w:p w14:paraId="49386CF6" w14:textId="77777777" w:rsidR="00A339E3" w:rsidRDefault="00A339E3" w:rsidP="004438FA">
      <w:pPr>
        <w:rPr>
          <w:b/>
          <w:bCs/>
          <w:sz w:val="24"/>
          <w:szCs w:val="24"/>
          <w:u w:val="single"/>
        </w:rPr>
      </w:pPr>
    </w:p>
    <w:p w14:paraId="536D73C3" w14:textId="139EABFB" w:rsidR="004438FA" w:rsidRDefault="003C3CDE" w:rsidP="004438FA">
      <w:pPr>
        <w:rPr>
          <w:b/>
          <w:bCs/>
          <w:sz w:val="24"/>
          <w:szCs w:val="24"/>
          <w:u w:val="single"/>
        </w:rPr>
      </w:pPr>
      <w:r w:rsidRPr="003C3CDE">
        <w:rPr>
          <w:b/>
          <w:bCs/>
          <w:sz w:val="24"/>
          <w:szCs w:val="24"/>
          <w:u w:val="single"/>
        </w:rPr>
        <w:lastRenderedPageBreak/>
        <w:t xml:space="preserve">Task </w:t>
      </w:r>
      <w:r w:rsidR="0050142F">
        <w:rPr>
          <w:b/>
          <w:bCs/>
          <w:sz w:val="24"/>
          <w:szCs w:val="24"/>
          <w:u w:val="single"/>
        </w:rPr>
        <w:t>3</w:t>
      </w:r>
      <w:r w:rsidRPr="003C3CDE">
        <w:rPr>
          <w:b/>
          <w:bCs/>
          <w:sz w:val="24"/>
          <w:szCs w:val="24"/>
          <w:u w:val="single"/>
        </w:rPr>
        <w:t>:</w:t>
      </w:r>
    </w:p>
    <w:p w14:paraId="2CE08220" w14:textId="1E23A85D" w:rsidR="003C3CDE" w:rsidRDefault="008C1FC1" w:rsidP="008C1FC1">
      <w:pPr>
        <w:jc w:val="center"/>
        <w:rPr>
          <w:sz w:val="24"/>
          <w:szCs w:val="24"/>
        </w:rPr>
      </w:pPr>
      <w:r w:rsidRPr="008C1FC1">
        <w:rPr>
          <w:noProof/>
          <w:sz w:val="24"/>
          <w:szCs w:val="24"/>
        </w:rPr>
        <w:drawing>
          <wp:inline distT="0" distB="0" distL="0" distR="0" wp14:anchorId="58FECBC7" wp14:editId="41DC82E2">
            <wp:extent cx="4410691" cy="1971950"/>
            <wp:effectExtent l="0" t="0" r="9525" b="9525"/>
            <wp:docPr id="210507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79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B79A" w14:textId="7706568F" w:rsidR="008C1FC1" w:rsidRPr="008C1FC1" w:rsidRDefault="008C1FC1" w:rsidP="008C1FC1">
      <w:pPr>
        <w:jc w:val="center"/>
        <w:rPr>
          <w:sz w:val="20"/>
          <w:szCs w:val="20"/>
          <w:lang w:val="en-GB"/>
        </w:rPr>
      </w:pPr>
      <w:r w:rsidRPr="008C1FC1">
        <w:rPr>
          <w:sz w:val="20"/>
          <w:szCs w:val="20"/>
          <w:lang w:val="en-GB"/>
        </w:rPr>
        <w:t xml:space="preserve">The longest combinational delay was from path a </w:t>
      </w:r>
      <w:proofErr w:type="spellStart"/>
      <w:r w:rsidR="00ED1980" w:rsidRPr="00ED1980">
        <w:rPr>
          <w:sz w:val="20"/>
          <w:szCs w:val="20"/>
          <w:lang w:val="en-GB"/>
        </w:rPr>
        <w:t>to</w:t>
      </w:r>
      <w:proofErr w:type="spellEnd"/>
      <w:r w:rsidR="00ED1980" w:rsidRPr="00ED1980">
        <w:rPr>
          <w:sz w:val="20"/>
          <w:szCs w:val="20"/>
          <w:lang w:val="en-GB"/>
        </w:rPr>
        <w:t xml:space="preserve"> path</w:t>
      </w:r>
      <w:r w:rsidRPr="008C1FC1">
        <w:rPr>
          <w:sz w:val="20"/>
          <w:szCs w:val="20"/>
          <w:lang w:val="en-GB"/>
        </w:rPr>
        <w:t xml:space="preserve"> x and path b to path x which is 6.754ns</w:t>
      </w:r>
    </w:p>
    <w:p w14:paraId="6C8BE3E8" w14:textId="77777777" w:rsidR="008C1FC1" w:rsidRDefault="008C1FC1" w:rsidP="008C1FC1">
      <w:pPr>
        <w:jc w:val="center"/>
        <w:rPr>
          <w:sz w:val="24"/>
          <w:szCs w:val="24"/>
        </w:rPr>
      </w:pPr>
    </w:p>
    <w:p w14:paraId="07D789DC" w14:textId="398B9217" w:rsidR="008D6E9D" w:rsidRDefault="003C3CDE" w:rsidP="008D6E9D">
      <w:pPr>
        <w:rPr>
          <w:b/>
          <w:bCs/>
          <w:sz w:val="24"/>
          <w:szCs w:val="24"/>
          <w:u w:val="single"/>
        </w:rPr>
      </w:pPr>
      <w:r w:rsidRPr="003C3CDE">
        <w:rPr>
          <w:b/>
          <w:bCs/>
          <w:sz w:val="24"/>
          <w:szCs w:val="24"/>
          <w:u w:val="single"/>
        </w:rPr>
        <w:t xml:space="preserve">Task </w:t>
      </w:r>
      <w:r w:rsidR="0050142F">
        <w:rPr>
          <w:b/>
          <w:bCs/>
          <w:sz w:val="24"/>
          <w:szCs w:val="24"/>
          <w:u w:val="single"/>
        </w:rPr>
        <w:t>4</w:t>
      </w:r>
      <w:r w:rsidRPr="003C3CDE">
        <w:rPr>
          <w:b/>
          <w:bCs/>
          <w:sz w:val="24"/>
          <w:szCs w:val="24"/>
          <w:u w:val="single"/>
        </w:rPr>
        <w:t>:</w:t>
      </w:r>
    </w:p>
    <w:p w14:paraId="0915811D" w14:textId="53BCAA21" w:rsidR="003C3CDE" w:rsidRDefault="003C3CDE" w:rsidP="008D6E9D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065F81B4" wp14:editId="1F65CD41">
            <wp:extent cx="3192780" cy="2075307"/>
            <wp:effectExtent l="0" t="0" r="7620" b="1270"/>
            <wp:docPr id="407040750" name="Picture 6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40750" name="Picture 6" descr="A close-up of a li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699" cy="207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57BC" w14:textId="32A015AC" w:rsidR="00C65082" w:rsidRDefault="00C65082" w:rsidP="00C6508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Task 4: </w:t>
      </w:r>
      <w:r>
        <w:rPr>
          <w:sz w:val="24"/>
          <w:szCs w:val="24"/>
        </w:rPr>
        <w:t xml:space="preserve"> </w:t>
      </w:r>
    </w:p>
    <w:p w14:paraId="34F8C831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 xml:space="preserve">module </w:t>
      </w:r>
      <w:proofErr w:type="spellStart"/>
      <w:r w:rsidRPr="001D7018">
        <w:rPr>
          <w:sz w:val="24"/>
          <w:szCs w:val="24"/>
        </w:rPr>
        <w:t>mycircuit</w:t>
      </w:r>
      <w:proofErr w:type="spellEnd"/>
      <w:r w:rsidRPr="001D7018">
        <w:rPr>
          <w:sz w:val="24"/>
          <w:szCs w:val="24"/>
        </w:rPr>
        <w:t xml:space="preserve"> (</w:t>
      </w:r>
    </w:p>
    <w:p w14:paraId="4724D2E5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    input logic a,</w:t>
      </w:r>
    </w:p>
    <w:p w14:paraId="6ABB85E3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    input logic b,</w:t>
      </w:r>
    </w:p>
    <w:p w14:paraId="370C487B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    input logic c,</w:t>
      </w:r>
    </w:p>
    <w:p w14:paraId="6D45698D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    output logic x,</w:t>
      </w:r>
    </w:p>
    <w:p w14:paraId="1AEF4262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    output logic y</w:t>
      </w:r>
    </w:p>
    <w:p w14:paraId="67D25C53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);</w:t>
      </w:r>
    </w:p>
    <w:p w14:paraId="0C2CDB3C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// Local vars</w:t>
      </w:r>
    </w:p>
    <w:p w14:paraId="2FE342AC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lastRenderedPageBreak/>
        <w:t>logic x</w:t>
      </w:r>
      <w:proofErr w:type="gramStart"/>
      <w:r w:rsidRPr="001D7018">
        <w:rPr>
          <w:sz w:val="24"/>
          <w:szCs w:val="24"/>
        </w:rPr>
        <w:t>1,x</w:t>
      </w:r>
      <w:proofErr w:type="gramEnd"/>
      <w:r w:rsidRPr="001D7018">
        <w:rPr>
          <w:sz w:val="24"/>
          <w:szCs w:val="24"/>
        </w:rPr>
        <w:t>2,x3,x4;</w:t>
      </w:r>
    </w:p>
    <w:p w14:paraId="3C818AF7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// Circuit Description</w:t>
      </w:r>
    </w:p>
    <w:p w14:paraId="50BCEE56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assign x1 = ~c;</w:t>
      </w:r>
    </w:p>
    <w:p w14:paraId="7B103374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 xml:space="preserve">assign x2 = </w:t>
      </w:r>
      <w:proofErr w:type="spellStart"/>
      <w:r w:rsidRPr="001D7018">
        <w:rPr>
          <w:sz w:val="24"/>
          <w:szCs w:val="24"/>
        </w:rPr>
        <w:t>a|b</w:t>
      </w:r>
      <w:proofErr w:type="spellEnd"/>
      <w:r w:rsidRPr="001D7018">
        <w:rPr>
          <w:sz w:val="24"/>
          <w:szCs w:val="24"/>
        </w:rPr>
        <w:t>;</w:t>
      </w:r>
    </w:p>
    <w:p w14:paraId="3792DDA8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assign x3 = ~(</w:t>
      </w:r>
      <w:proofErr w:type="spellStart"/>
      <w:r w:rsidRPr="001D7018">
        <w:rPr>
          <w:sz w:val="24"/>
          <w:szCs w:val="24"/>
        </w:rPr>
        <w:t>a&amp;b</w:t>
      </w:r>
      <w:proofErr w:type="spellEnd"/>
      <w:r w:rsidRPr="001D7018">
        <w:rPr>
          <w:sz w:val="24"/>
          <w:szCs w:val="24"/>
        </w:rPr>
        <w:t>);</w:t>
      </w:r>
    </w:p>
    <w:p w14:paraId="184E3AE5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assign x4 = x2^x3;</w:t>
      </w:r>
    </w:p>
    <w:p w14:paraId="0C3613E6" w14:textId="77777777" w:rsidR="001D7018" w:rsidRPr="001D7018" w:rsidRDefault="001D7018" w:rsidP="001D7018">
      <w:pPr>
        <w:rPr>
          <w:sz w:val="24"/>
          <w:szCs w:val="24"/>
        </w:rPr>
      </w:pPr>
    </w:p>
    <w:p w14:paraId="11A61495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// output vars</w:t>
      </w:r>
    </w:p>
    <w:p w14:paraId="2B704A2F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assign x = x1^x2;</w:t>
      </w:r>
    </w:p>
    <w:p w14:paraId="0DDAAD71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assign y = x2&amp;x4;</w:t>
      </w:r>
    </w:p>
    <w:p w14:paraId="193C7CA7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 xml:space="preserve">    </w:t>
      </w:r>
    </w:p>
    <w:p w14:paraId="4086D9C6" w14:textId="77777777" w:rsidR="001D7018" w:rsidRPr="001D7018" w:rsidRDefault="001D7018" w:rsidP="001D7018">
      <w:pPr>
        <w:rPr>
          <w:sz w:val="24"/>
          <w:szCs w:val="24"/>
        </w:rPr>
      </w:pPr>
      <w:proofErr w:type="spellStart"/>
      <w:r w:rsidRPr="001D7018">
        <w:rPr>
          <w:sz w:val="24"/>
          <w:szCs w:val="24"/>
        </w:rPr>
        <w:t>endmodule</w:t>
      </w:r>
      <w:proofErr w:type="spellEnd"/>
    </w:p>
    <w:p w14:paraId="6DA62EF1" w14:textId="77777777" w:rsidR="001D7018" w:rsidRPr="00C65082" w:rsidRDefault="001D7018" w:rsidP="00C65082">
      <w:pPr>
        <w:rPr>
          <w:sz w:val="24"/>
          <w:szCs w:val="24"/>
        </w:rPr>
      </w:pPr>
    </w:p>
    <w:sectPr w:rsidR="001D7018" w:rsidRPr="00C6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06"/>
    <w:rsid w:val="001C55AF"/>
    <w:rsid w:val="001D7018"/>
    <w:rsid w:val="003001AC"/>
    <w:rsid w:val="003B00C5"/>
    <w:rsid w:val="003C3CDE"/>
    <w:rsid w:val="004438FA"/>
    <w:rsid w:val="00474F39"/>
    <w:rsid w:val="0050142F"/>
    <w:rsid w:val="006240D7"/>
    <w:rsid w:val="008C1FC1"/>
    <w:rsid w:val="008D6E9D"/>
    <w:rsid w:val="008D7B06"/>
    <w:rsid w:val="00A01119"/>
    <w:rsid w:val="00A339E3"/>
    <w:rsid w:val="00C65082"/>
    <w:rsid w:val="00DB0795"/>
    <w:rsid w:val="00E54126"/>
    <w:rsid w:val="00E67AE7"/>
    <w:rsid w:val="00E731F8"/>
    <w:rsid w:val="00ED1980"/>
    <w:rsid w:val="00F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59C5"/>
  <w15:chartTrackingRefBased/>
  <w15:docId w15:val="{570C276B-3A60-4FF4-86CF-E15643C1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B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001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1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01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1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001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FEF49D-C45C-4768-B284-C022C7F6DE5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E23F7-090F-40BD-8823-F90F3FCBB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Ahmad</dc:creator>
  <cp:keywords/>
  <dc:description/>
  <cp:lastModifiedBy>Muhammad Ahmad</cp:lastModifiedBy>
  <cp:revision>14</cp:revision>
  <dcterms:created xsi:type="dcterms:W3CDTF">2025-02-04T08:32:00Z</dcterms:created>
  <dcterms:modified xsi:type="dcterms:W3CDTF">2025-02-06T04:27:00Z</dcterms:modified>
</cp:coreProperties>
</file>