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sz w:val="21"/>
        </w:rPr>
        <w:t>Supplementary Table S1. Composition of the "other selected ball and stick sports" category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1"/>
        <w:gridCol w:w="3021"/>
        <w:gridCol w:w="3021"/>
        <w:gridCol w:w="3021"/>
        <w:gridCol w:w="3021"/>
      </w:tblGrid>
      <w:tr>
        <w:tc>
          <w:tcPr>
            <w:tcW w:type="dxa" w:w="3021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NEISS code</w:t>
            </w:r>
          </w:p>
        </w:tc>
        <w:tc>
          <w:tcPr>
            <w:tcW w:type="dxa" w:w="3021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Official label</w:t>
            </w:r>
          </w:p>
        </w:tc>
        <w:tc>
          <w:tcPr>
            <w:tcW w:type="dxa" w:w="3021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Unweighted n</w:t>
            </w:r>
          </w:p>
        </w:tc>
        <w:tc>
          <w:tcPr>
            <w:tcW w:type="dxa" w:w="3021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Weighted estimate</w:t>
            </w:r>
          </w:p>
        </w:tc>
        <w:tc>
          <w:tcPr>
            <w:tcW w:type="dxa" w:w="3021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% of category</w:t>
            </w:r>
          </w:p>
        </w:tc>
      </w:tr>
      <w:tr>
        <w:tc>
          <w:tcPr>
            <w:tcW w:type="dxa" w:w="3021"/>
          </w:tcPr>
          <w:p>
            <w:pPr>
              <w:jc w:val="left"/>
            </w:pPr>
            <w:r>
              <w:rPr>
                <w:sz w:val="16"/>
              </w:rPr>
              <w:t>3235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sz w:val="16"/>
              </w:rPr>
              <w:t>OTHER BALL SPORTS (ACTIVITY, APPAREL OR EQUIPMENT)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sz w:val="16"/>
              </w:rPr>
              <w:t>544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sz w:val="16"/>
              </w:rPr>
              <w:t>15,064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sz w:val="16"/>
              </w:rPr>
              <w:t>55.7%</w:t>
            </w:r>
          </w:p>
        </w:tc>
      </w:tr>
      <w:tr>
        <w:tc>
          <w:tcPr>
            <w:tcW w:type="dxa" w:w="3021"/>
          </w:tcPr>
          <w:p>
            <w:pPr>
              <w:jc w:val="left"/>
            </w:pPr>
            <w:r>
              <w:rPr>
                <w:sz w:val="16"/>
              </w:rPr>
              <w:t>3236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sz w:val="16"/>
              </w:rPr>
              <w:t>BALL SPORTS (ACTIVITY, APPAREL OR EQUIPMENT), N.S.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sz w:val="16"/>
              </w:rPr>
              <w:t>91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sz w:val="16"/>
              </w:rPr>
              <w:t>3,546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sz w:val="16"/>
              </w:rPr>
              <w:t>13.1%</w:t>
            </w:r>
          </w:p>
        </w:tc>
      </w:tr>
      <w:tr>
        <w:tc>
          <w:tcPr>
            <w:tcW w:type="dxa" w:w="3021"/>
          </w:tcPr>
          <w:p>
            <w:pPr>
              <w:jc w:val="left"/>
            </w:pPr>
            <w:r>
              <w:rPr>
                <w:sz w:val="16"/>
              </w:rPr>
              <w:t>1215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sz w:val="16"/>
              </w:rPr>
              <w:t>LACROSSE (ACTIVITY, APPAREL OR EQUIPMENT)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sz w:val="16"/>
              </w:rPr>
              <w:t>117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sz w:val="16"/>
              </w:rPr>
              <w:t>2,659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sz w:val="16"/>
              </w:rPr>
              <w:t>9.8%</w:t>
            </w:r>
          </w:p>
        </w:tc>
      </w:tr>
      <w:tr>
        <w:tc>
          <w:tcPr>
            <w:tcW w:type="dxa" w:w="3021"/>
          </w:tcPr>
          <w:p>
            <w:pPr>
              <w:jc w:val="left"/>
            </w:pPr>
            <w:r>
              <w:rPr>
                <w:sz w:val="16"/>
              </w:rPr>
              <w:t>1279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sz w:val="16"/>
              </w:rPr>
              <w:t>ICE HOCKEY (ACTIVITY, APPAREL OR EQUIPMENT)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sz w:val="16"/>
              </w:rPr>
              <w:t>58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sz w:val="16"/>
              </w:rPr>
              <w:t>1,699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sz w:val="16"/>
              </w:rPr>
              <w:t>6.3%</w:t>
            </w:r>
          </w:p>
        </w:tc>
      </w:tr>
      <w:tr>
        <w:tc>
          <w:tcPr>
            <w:tcW w:type="dxa" w:w="3021"/>
          </w:tcPr>
          <w:p>
            <w:pPr>
              <w:jc w:val="left"/>
            </w:pPr>
            <w:r>
              <w:rPr>
                <w:sz w:val="16"/>
              </w:rPr>
              <w:t>3272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sz w:val="16"/>
              </w:rPr>
              <w:t>HOCKEY (ACTIVITY, APPAREL OR EQUIPMENT), NOT SPECIFIED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sz w:val="16"/>
              </w:rPr>
              <w:t>65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sz w:val="16"/>
              </w:rPr>
              <w:t>1,429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sz w:val="16"/>
              </w:rPr>
              <w:t>5.3%</w:t>
            </w:r>
          </w:p>
        </w:tc>
      </w:tr>
      <w:tr>
        <w:tc>
          <w:tcPr>
            <w:tcW w:type="dxa" w:w="3021"/>
          </w:tcPr>
          <w:p>
            <w:pPr>
              <w:jc w:val="left"/>
            </w:pPr>
            <w:r>
              <w:rPr>
                <w:sz w:val="16"/>
              </w:rPr>
              <w:t>1295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sz w:val="16"/>
              </w:rPr>
              <w:t>FIELD HOCKEY (ACTIVITY, APPAREL OR EQUIPMENT)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sz w:val="16"/>
              </w:rPr>
              <w:t>45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sz w:val="16"/>
              </w:rPr>
              <w:t>1,144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sz w:val="16"/>
              </w:rPr>
              <w:t>4.2%</w:t>
            </w:r>
          </w:p>
        </w:tc>
      </w:tr>
      <w:tr>
        <w:tc>
          <w:tcPr>
            <w:tcW w:type="dxa" w:w="3021"/>
          </w:tcPr>
          <w:p>
            <w:pPr>
              <w:jc w:val="left"/>
            </w:pPr>
            <w:r>
              <w:rPr>
                <w:sz w:val="16"/>
              </w:rPr>
              <w:t>3234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sz w:val="16"/>
              </w:rPr>
              <w:t>RUGBY (ACTIVITY, APPAREL OR EQUIPMENT)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sz w:val="16"/>
              </w:rPr>
              <w:t>31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sz w:val="16"/>
              </w:rPr>
              <w:t>984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sz w:val="16"/>
              </w:rPr>
              <w:t>3.6%</w:t>
            </w:r>
          </w:p>
        </w:tc>
      </w:tr>
      <w:tr>
        <w:tc>
          <w:tcPr>
            <w:tcW w:type="dxa" w:w="3021"/>
          </w:tcPr>
          <w:p>
            <w:pPr>
              <w:jc w:val="left"/>
            </w:pPr>
            <w:r>
              <w:rPr>
                <w:sz w:val="16"/>
              </w:rPr>
              <w:t>1282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sz w:val="16"/>
              </w:rPr>
              <w:t>HANDBALL (ACTIVITY, APPAREL OR EQUIPMENT)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sz w:val="16"/>
              </w:rPr>
              <w:t>461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sz w:val="16"/>
              </w:rPr>
              <w:t>1.7%</w:t>
            </w:r>
          </w:p>
        </w:tc>
      </w:tr>
      <w:tr>
        <w:tc>
          <w:tcPr>
            <w:tcW w:type="dxa" w:w="3021"/>
          </w:tcPr>
          <w:p>
            <w:pPr>
              <w:jc w:val="left"/>
            </w:pPr>
            <w:r>
              <w:rPr>
                <w:sz w:val="16"/>
              </w:rPr>
              <w:t>3245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sz w:val="16"/>
              </w:rPr>
              <w:t>STREET HOCKEY (ACTIVITY, APPAREL OR EQUIPMENT)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sz w:val="16"/>
              </w:rPr>
              <w:t>81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sz w:val="16"/>
              </w:rPr>
              <w:t>0.3%</w:t>
            </w:r>
          </w:p>
        </w:tc>
      </w:tr>
      <w:tr>
        <w:tc>
          <w:tcPr>
            <w:tcW w:type="dxa" w:w="3021"/>
          </w:tcPr>
          <w:p>
            <w:pPr>
              <w:jc w:val="left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b/>
                <w:sz w:val="16"/>
              </w:rPr>
              <w:t>other selected ball and stick sports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b/>
                <w:sz w:val="16"/>
              </w:rPr>
              <w:t>974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b/>
                <w:sz w:val="16"/>
              </w:rPr>
              <w:t>27,066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b/>
                <w:sz w:val="16"/>
              </w:rPr>
              <w:t>100.0%</w:t>
            </w:r>
          </w:p>
        </w:tc>
      </w:tr>
    </w:tbl>
    <w:p>
      <w:pPr>
        <w:spacing w:before="120"/>
      </w:pPr>
      <w:r>
        <w:rPr>
          <w:i/>
          <w:sz w:val="16"/>
        </w:rPr>
        <w:t>Core sport groups (basketball, football, baseball/softball, soccer, volleyball) were mapped from the official NEISS product/activity codes listed in the study configuration and are not reproduced here. Roller hockey (code 5032) was eligible under the a priori selection rule but contributed no records to the cohort and is therefore not listed. Generic ball-sport codes (3235 and 3236) account for 68.8% of this category; unambiguous ball sports (adding lacrosse, rugby, and handball) account for 83.9%. Puck-based codes (ice hockey and unspecified hockey) account for 11.6% of this category and 0.71% of the whole cohort; all hockey-variant codes account for 16.1% of the category and 0.99% of the cohort. Sensitivity analyses excluding these codes are reported in the Results.</w:t>
      </w:r>
    </w:p>
    <w:p>
      <w:r>
        <w:br w:type="page"/>
      </w:r>
    </w:p>
    <w:p>
      <w:pPr>
        <w:spacing w:after="120"/>
      </w:pPr>
      <w:r>
        <w:rPr>
          <w:b/>
          <w:sz w:val="21"/>
        </w:rPr>
        <w:t>Supplementary Table S2. Cohort flow for the main analytic cohort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18"/>
        <w:gridCol w:w="2518"/>
        <w:gridCol w:w="2518"/>
        <w:gridCol w:w="2518"/>
        <w:gridCol w:w="2518"/>
        <w:gridCol w:w="2518"/>
      </w:tblGrid>
      <w:tr>
        <w:tc>
          <w:tcPr>
            <w:tcW w:type="dxa" w:w="2518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Screening step</w:t>
            </w:r>
          </w:p>
        </w:tc>
        <w:tc>
          <w:tcPr>
            <w:tcW w:type="dxa" w:w="2518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Unweighted n</w:t>
            </w:r>
          </w:p>
        </w:tc>
        <w:tc>
          <w:tcPr>
            <w:tcW w:type="dxa" w:w="2518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Weighted estimate</w:t>
            </w:r>
          </w:p>
        </w:tc>
        <w:tc>
          <w:tcPr>
            <w:tcW w:type="dxa" w:w="2518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SE</w:t>
            </w:r>
          </w:p>
        </w:tc>
        <w:tc>
          <w:tcPr>
            <w:tcW w:type="dxa" w:w="2518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CV</w:t>
            </w:r>
          </w:p>
        </w:tc>
        <w:tc>
          <w:tcPr>
            <w:tcW w:type="dxa" w:w="2518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95% CI</w:t>
            </w:r>
          </w:p>
        </w:tc>
      </w:tr>
      <w:tr>
        <w:tc>
          <w:tcPr>
            <w:tcW w:type="dxa" w:w="2518"/>
          </w:tcPr>
          <w:p>
            <w:pPr>
              <w:jc w:val="left"/>
            </w:pPr>
            <w:r>
              <w:rPr>
                <w:sz w:val="16"/>
              </w:rPr>
              <w:t>All NEISS records in downloaded files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3,924,911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150,292,889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14,613,593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9.7%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121,650,247-178,935,531</w:t>
            </w:r>
          </w:p>
        </w:tc>
      </w:tr>
      <w:tr>
        <w:tc>
          <w:tcPr>
            <w:tcW w:type="dxa" w:w="2518"/>
          </w:tcPr>
          <w:p>
            <w:pPr>
              <w:jc w:val="left"/>
            </w:pPr>
            <w:r>
              <w:rPr>
                <w:sz w:val="16"/>
              </w:rPr>
              <w:t>Treatment year 2015-2025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3,924,903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150,292,889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14,613,593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9.7%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121,650,247-178,935,531</w:t>
            </w:r>
          </w:p>
        </w:tc>
      </w:tr>
      <w:tr>
        <w:tc>
          <w:tcPr>
            <w:tcW w:type="dxa" w:w="2518"/>
          </w:tcPr>
          <w:p>
            <w:pPr>
              <w:jc w:val="left"/>
            </w:pPr>
            <w:r>
              <w:rPr>
                <w:sz w:val="16"/>
              </w:rPr>
              <w:t>Age 10-18 years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732,983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23,289,909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2,476,321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10.6%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18,436,320-28,143,498</w:t>
            </w:r>
          </w:p>
        </w:tc>
      </w:tr>
      <w:tr>
        <w:tc>
          <w:tcPr>
            <w:tcW w:type="dxa" w:w="2518"/>
          </w:tcPr>
          <w:p>
            <w:pPr>
              <w:jc w:val="left"/>
            </w:pPr>
            <w:r>
              <w:rPr>
                <w:sz w:val="16"/>
              </w:rPr>
              <w:t>Primary body part is finger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73,419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2,373,767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238,730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10.1%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1,905,856-2,841,678</w:t>
            </w:r>
          </w:p>
        </w:tc>
      </w:tr>
      <w:tr>
        <w:tc>
          <w:tcPr>
            <w:tcW w:type="dxa" w:w="2518"/>
          </w:tcPr>
          <w:p>
            <w:pPr>
              <w:jc w:val="left"/>
            </w:pPr>
            <w:r>
              <w:rPr>
                <w:sz w:val="16"/>
              </w:rPr>
              <w:t>Primary diagnosis is fracture or dislocation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24,363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669,256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74,807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11.2%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522,634-815,878</w:t>
            </w:r>
          </w:p>
        </w:tc>
      </w:tr>
      <w:tr>
        <w:tc>
          <w:tcPr>
            <w:tcW w:type="dxa" w:w="2518"/>
          </w:tcPr>
          <w:p>
            <w:pPr>
              <w:jc w:val="left"/>
            </w:pPr>
            <w:r>
              <w:rPr>
                <w:sz w:val="16"/>
              </w:rPr>
              <w:t>Product_1 or Product_2 is a verified selected ball sport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16,069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441,512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50,822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11.5%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341,901-541,123</w:t>
            </w:r>
          </w:p>
        </w:tc>
      </w:tr>
      <w:tr>
        <w:tc>
          <w:tcPr>
            <w:tcW w:type="dxa" w:w="2518"/>
          </w:tcPr>
          <w:p>
            <w:pPr>
              <w:jc w:val="left"/>
            </w:pPr>
            <w:r>
              <w:rPr>
                <w:sz w:val="16"/>
              </w:rPr>
              <w:t>Missing essential fields excluded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16,069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441,512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50,822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11.5%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341,901-541,123</w:t>
            </w:r>
          </w:p>
        </w:tc>
      </w:tr>
      <w:tr>
        <w:tc>
          <w:tcPr>
            <w:tcW w:type="dxa" w:w="2518"/>
          </w:tcPr>
          <w:p>
            <w:pPr>
              <w:jc w:val="left"/>
            </w:pPr>
            <w:r>
              <w:rPr>
                <w:sz w:val="16"/>
              </w:rPr>
              <w:t>Obvious spectator/bystander narratives excluded (final cohort)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16,066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441,441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50,825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11.5%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341,824-541,058</w:t>
            </w:r>
          </w:p>
        </w:tc>
      </w:tr>
    </w:tbl>
    <w:p>
      <w:pPr>
        <w:spacing w:before="120"/>
      </w:pPr>
      <w:r>
        <w:rPr>
          <w:i/>
          <w:sz w:val="16"/>
        </w:rPr>
        <w:t>Weighted estimates use NEISS sample weights; standard errors were estimated by Taylor linearization using the stratified ultimate-cluster estimator with NEISS stratum and primary sampling unit variables. The final step removed 3 records (71 weighted visits, 0.02%). CI, confidence interval; CV, coefficient of variation; SE, standard error.</w:t>
      </w:r>
    </w:p>
    <w:p>
      <w:r>
        <w:br w:type="page"/>
      </w:r>
    </w:p>
    <w:p>
      <w:pPr>
        <w:spacing w:after="120"/>
      </w:pPr>
      <w:r>
        <w:rPr>
          <w:b/>
          <w:sz w:val="21"/>
        </w:rPr>
        <w:t>Supplementary Table S3a. Annual weighted estimates by year and sport group, 2015-2025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  <w:gridCol w:w="2158"/>
        <w:gridCol w:w="2158"/>
        <w:gridCol w:w="2158"/>
      </w:tblGrid>
      <w:tr>
        <w:tc>
          <w:tcPr>
            <w:tcW w:type="dxa" w:w="2158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Year</w:t>
            </w:r>
          </w:p>
        </w:tc>
        <w:tc>
          <w:tcPr>
            <w:tcW w:type="dxa" w:w="2158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Sport group</w:t>
            </w:r>
          </w:p>
        </w:tc>
        <w:tc>
          <w:tcPr>
            <w:tcW w:type="dxa" w:w="2158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Unweighted n</w:t>
            </w:r>
          </w:p>
        </w:tc>
        <w:tc>
          <w:tcPr>
            <w:tcW w:type="dxa" w:w="2158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Weighted estimate</w:t>
            </w:r>
          </w:p>
        </w:tc>
        <w:tc>
          <w:tcPr>
            <w:tcW w:type="dxa" w:w="2158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95% CI</w:t>
            </w:r>
          </w:p>
        </w:tc>
        <w:tc>
          <w:tcPr>
            <w:tcW w:type="dxa" w:w="2158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CV</w:t>
            </w:r>
          </w:p>
        </w:tc>
        <w:tc>
          <w:tcPr>
            <w:tcW w:type="dxa" w:w="2158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Instability flag</w:t>
            </w:r>
          </w:p>
        </w:tc>
      </w:tr>
      <w:tr>
        <w:tc>
          <w:tcPr>
            <w:tcW w:type="dxa" w:w="2158"/>
          </w:tcPr>
          <w:p>
            <w:pPr>
              <w:jc w:val="left"/>
            </w:pPr>
            <w:r>
              <w:rPr>
                <w:sz w:val="16"/>
              </w:rPr>
              <w:t>2015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baseball/softball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127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5,094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3,291-6,897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18.1%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2158"/>
          </w:tcPr>
          <w:p>
            <w:pPr>
              <w:jc w:val="left"/>
            </w:pPr>
            <w:r>
              <w:rPr>
                <w:sz w:val="16"/>
              </w:rPr>
              <w:t>2015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basketball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586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17,915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12,222-23,608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16.2%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2158"/>
          </w:tcPr>
          <w:p>
            <w:pPr>
              <w:jc w:val="left"/>
            </w:pPr>
            <w:r>
              <w:rPr>
                <w:sz w:val="16"/>
              </w:rPr>
              <w:t>2015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football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647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20,389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13,918-26,859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16.2%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2158"/>
          </w:tcPr>
          <w:p>
            <w:pPr>
              <w:jc w:val="left"/>
            </w:pPr>
            <w:r>
              <w:rPr>
                <w:sz w:val="16"/>
              </w:rPr>
              <w:t>2015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other selected ball and stick sports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108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3,958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2,622-5,295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17.2%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2158"/>
          </w:tcPr>
          <w:p>
            <w:pPr>
              <w:jc w:val="left"/>
            </w:pPr>
            <w:r>
              <w:rPr>
                <w:sz w:val="16"/>
              </w:rPr>
              <w:t>2015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soccer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139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4,051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2,478-5,624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19.8%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2158"/>
          </w:tcPr>
          <w:p>
            <w:pPr>
              <w:jc w:val="left"/>
            </w:pPr>
            <w:r>
              <w:rPr>
                <w:sz w:val="16"/>
              </w:rPr>
              <w:t>2015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volleyball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43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1,109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592-1,626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23.8%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color w:val="C00000"/>
                <w:sz w:val="16"/>
              </w:rPr>
              <w:t>estimate&lt;1200</w:t>
            </w:r>
          </w:p>
        </w:tc>
      </w:tr>
      <w:tr>
        <w:tc>
          <w:tcPr>
            <w:tcW w:type="dxa" w:w="2158"/>
          </w:tcPr>
          <w:p>
            <w:pPr>
              <w:jc w:val="left"/>
            </w:pPr>
            <w:r>
              <w:rPr>
                <w:sz w:val="16"/>
              </w:rPr>
              <w:t>2016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baseball/softball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141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4,566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2,718-6,413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20.6%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2158"/>
          </w:tcPr>
          <w:p>
            <w:pPr>
              <w:jc w:val="left"/>
            </w:pPr>
            <w:r>
              <w:rPr>
                <w:sz w:val="16"/>
              </w:rPr>
              <w:t>2016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basketball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672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18,694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12,932-24,456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15.7%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2158"/>
          </w:tcPr>
          <w:p>
            <w:pPr>
              <w:jc w:val="left"/>
            </w:pPr>
            <w:r>
              <w:rPr>
                <w:sz w:val="16"/>
              </w:rPr>
              <w:t>2016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football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709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21,022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14,621-27,422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15.5%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2158"/>
          </w:tcPr>
          <w:p>
            <w:pPr>
              <w:jc w:val="left"/>
            </w:pPr>
            <w:r>
              <w:rPr>
                <w:sz w:val="16"/>
              </w:rPr>
              <w:t>2016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other selected ball and stick sports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120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3,212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2,048-4,376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18.5%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2158"/>
          </w:tcPr>
          <w:p>
            <w:pPr>
              <w:jc w:val="left"/>
            </w:pPr>
            <w:r>
              <w:rPr>
                <w:sz w:val="16"/>
              </w:rPr>
              <w:t>2016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soccer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147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3,296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1,975-4,617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20.4%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2158"/>
          </w:tcPr>
          <w:p>
            <w:pPr>
              <w:jc w:val="left"/>
            </w:pPr>
            <w:r>
              <w:rPr>
                <w:sz w:val="16"/>
              </w:rPr>
              <w:t>2016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volleyball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1,319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587-2,051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28.3%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2158"/>
          </w:tcPr>
          <w:p>
            <w:pPr>
              <w:jc w:val="left"/>
            </w:pPr>
            <w:r>
              <w:rPr>
                <w:sz w:val="16"/>
              </w:rPr>
              <w:t>2017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baseball/softball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120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3,836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2,460-5,212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18.3%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2158"/>
          </w:tcPr>
          <w:p>
            <w:pPr>
              <w:jc w:val="left"/>
            </w:pPr>
            <w:r>
              <w:rPr>
                <w:sz w:val="16"/>
              </w:rPr>
              <w:t>2017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basketball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712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18,912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14,199-23,625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12.7%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2158"/>
          </w:tcPr>
          <w:p>
            <w:pPr>
              <w:jc w:val="left"/>
            </w:pPr>
            <w:r>
              <w:rPr>
                <w:sz w:val="16"/>
              </w:rPr>
              <w:t>2017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football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600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16,844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12,518-21,170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13.1%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2158"/>
          </w:tcPr>
          <w:p>
            <w:pPr>
              <w:jc w:val="left"/>
            </w:pPr>
            <w:r>
              <w:rPr>
                <w:sz w:val="16"/>
              </w:rPr>
              <w:t>2017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other selected ball and stick sports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121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2,661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1,627-3,695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19.8%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2158"/>
          </w:tcPr>
          <w:p>
            <w:pPr>
              <w:jc w:val="left"/>
            </w:pPr>
            <w:r>
              <w:rPr>
                <w:sz w:val="16"/>
              </w:rPr>
              <w:t>2017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soccer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144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3,230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2,006-4,455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19.3%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2158"/>
          </w:tcPr>
          <w:p>
            <w:pPr>
              <w:jc w:val="left"/>
            </w:pPr>
            <w:r>
              <w:rPr>
                <w:sz w:val="16"/>
              </w:rPr>
              <w:t>2017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volleyball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47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1,446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728-2,164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25.3%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2158"/>
          </w:tcPr>
          <w:p>
            <w:pPr>
              <w:jc w:val="left"/>
            </w:pPr>
            <w:r>
              <w:rPr>
                <w:sz w:val="16"/>
              </w:rPr>
              <w:t>2018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baseball/softball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127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4,129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2,682-5,576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17.9%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2158"/>
          </w:tcPr>
          <w:p>
            <w:pPr>
              <w:jc w:val="left"/>
            </w:pPr>
            <w:r>
              <w:rPr>
                <w:sz w:val="16"/>
              </w:rPr>
              <w:t>2018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basketball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637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16,914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11,625-22,202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16.0%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2158"/>
          </w:tcPr>
          <w:p>
            <w:pPr>
              <w:jc w:val="left"/>
            </w:pPr>
            <w:r>
              <w:rPr>
                <w:sz w:val="16"/>
              </w:rPr>
              <w:t>2018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football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496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13,662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8,795-18,528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18.2%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2158"/>
          </w:tcPr>
          <w:p>
            <w:pPr>
              <w:jc w:val="left"/>
            </w:pPr>
            <w:r>
              <w:rPr>
                <w:sz w:val="16"/>
              </w:rPr>
              <w:t>2018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other selected ball and stick sports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109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2,800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1,767-3,832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18.8%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2158"/>
          </w:tcPr>
          <w:p>
            <w:pPr>
              <w:jc w:val="left"/>
            </w:pPr>
            <w:r>
              <w:rPr>
                <w:sz w:val="16"/>
              </w:rPr>
              <w:t>2018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soccer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113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2,935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1,698-4,173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21.5%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2158"/>
          </w:tcPr>
          <w:p>
            <w:pPr>
              <w:jc w:val="left"/>
            </w:pPr>
            <w:r>
              <w:rPr>
                <w:sz w:val="16"/>
              </w:rPr>
              <w:t>2018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volleyball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51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1,721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979-2,462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22.0%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2158"/>
          </w:tcPr>
          <w:p>
            <w:pPr>
              <w:jc w:val="left"/>
            </w:pPr>
            <w:r>
              <w:rPr>
                <w:sz w:val="16"/>
              </w:rPr>
              <w:t>2019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baseball/softball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129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4,323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2,738-5,907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18.7%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2158"/>
          </w:tcPr>
          <w:p>
            <w:pPr>
              <w:jc w:val="left"/>
            </w:pPr>
            <w:r>
              <w:rPr>
                <w:sz w:val="16"/>
              </w:rPr>
              <w:t>2019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basketball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657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15,909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10,699-21,118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16.7%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2158"/>
          </w:tcPr>
          <w:p>
            <w:pPr>
              <w:jc w:val="left"/>
            </w:pPr>
            <w:r>
              <w:rPr>
                <w:sz w:val="16"/>
              </w:rPr>
              <w:t>2019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football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534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14,819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9,286-20,352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19.1%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2158"/>
          </w:tcPr>
          <w:p>
            <w:pPr>
              <w:jc w:val="left"/>
            </w:pPr>
            <w:r>
              <w:rPr>
                <w:sz w:val="16"/>
              </w:rPr>
              <w:t>2019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other selected ball and stick sports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100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2,663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1,625-3,700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19.9%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2158"/>
          </w:tcPr>
          <w:p>
            <w:pPr>
              <w:jc w:val="left"/>
            </w:pPr>
            <w:r>
              <w:rPr>
                <w:sz w:val="16"/>
              </w:rPr>
              <w:t>2019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soccer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119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3,003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1,505-4,502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25.5%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2158"/>
          </w:tcPr>
          <w:p>
            <w:pPr>
              <w:jc w:val="left"/>
            </w:pPr>
            <w:r>
              <w:rPr>
                <w:sz w:val="16"/>
              </w:rPr>
              <w:t>2019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volleyball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59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1,928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1,002-2,854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24.5%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2158"/>
          </w:tcPr>
          <w:p>
            <w:pPr>
              <w:jc w:val="left"/>
            </w:pPr>
            <w:r>
              <w:rPr>
                <w:sz w:val="16"/>
              </w:rPr>
              <w:t>2020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baseball/softball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62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1,847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899-2,795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26.2%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2158"/>
          </w:tcPr>
          <w:p>
            <w:pPr>
              <w:jc w:val="left"/>
            </w:pPr>
            <w:r>
              <w:rPr>
                <w:sz w:val="16"/>
              </w:rPr>
              <w:t>2020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basketball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280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6,178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4,241-8,115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16.0%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2158"/>
          </w:tcPr>
          <w:p>
            <w:pPr>
              <w:jc w:val="left"/>
            </w:pPr>
            <w:r>
              <w:rPr>
                <w:sz w:val="16"/>
              </w:rPr>
              <w:t>2020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football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289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7,218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4,647-9,790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18.2%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2158"/>
          </w:tcPr>
          <w:p>
            <w:pPr>
              <w:jc w:val="left"/>
            </w:pPr>
            <w:r>
              <w:rPr>
                <w:sz w:val="16"/>
              </w:rPr>
              <w:t>2020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other selected ball and stick sports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47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1,071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498-1,644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27.3%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color w:val="C00000"/>
                <w:sz w:val="16"/>
              </w:rPr>
              <w:t>estimate&lt;1200</w:t>
            </w:r>
          </w:p>
        </w:tc>
      </w:tr>
      <w:tr>
        <w:tc>
          <w:tcPr>
            <w:tcW w:type="dxa" w:w="2158"/>
          </w:tcPr>
          <w:p>
            <w:pPr>
              <w:jc w:val="left"/>
            </w:pPr>
            <w:r>
              <w:rPr>
                <w:sz w:val="16"/>
              </w:rPr>
              <w:t>2020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soccer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1,141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303-1,979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37.5%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color w:val="C00000"/>
                <w:sz w:val="16"/>
              </w:rPr>
              <w:t>estimate&lt;1200; cv&gt;33%</w:t>
            </w:r>
          </w:p>
        </w:tc>
      </w:tr>
      <w:tr>
        <w:tc>
          <w:tcPr>
            <w:tcW w:type="dxa" w:w="2158"/>
          </w:tcPr>
          <w:p>
            <w:pPr>
              <w:jc w:val="left"/>
            </w:pPr>
            <w:r>
              <w:rPr>
                <w:sz w:val="16"/>
              </w:rPr>
              <w:t>2020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volleyball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26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616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260-972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29.5%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color w:val="C00000"/>
                <w:sz w:val="16"/>
              </w:rPr>
              <w:t>estimate&lt;1200</w:t>
            </w:r>
          </w:p>
        </w:tc>
      </w:tr>
      <w:tr>
        <w:tc>
          <w:tcPr>
            <w:tcW w:type="dxa" w:w="2158"/>
          </w:tcPr>
          <w:p>
            <w:pPr>
              <w:jc w:val="left"/>
            </w:pPr>
            <w:r>
              <w:rPr>
                <w:sz w:val="16"/>
              </w:rPr>
              <w:t>2021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baseball/softball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124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3,368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2,288-4,448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16.4%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2158"/>
          </w:tcPr>
          <w:p>
            <w:pPr>
              <w:jc w:val="left"/>
            </w:pPr>
            <w:r>
              <w:rPr>
                <w:sz w:val="16"/>
              </w:rPr>
              <w:t>2021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basketball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367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8,316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5,804-10,829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15.4%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2158"/>
          </w:tcPr>
          <w:p>
            <w:pPr>
              <w:jc w:val="left"/>
            </w:pPr>
            <w:r>
              <w:rPr>
                <w:sz w:val="16"/>
              </w:rPr>
              <w:t>2021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football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496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11,942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7,795-16,088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17.7%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2158"/>
          </w:tcPr>
          <w:p>
            <w:pPr>
              <w:jc w:val="left"/>
            </w:pPr>
            <w:r>
              <w:rPr>
                <w:sz w:val="16"/>
              </w:rPr>
              <w:t>2021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other selected ball and stick sports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66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1,664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738-2,590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28.4%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2158"/>
          </w:tcPr>
          <w:p>
            <w:pPr>
              <w:jc w:val="left"/>
            </w:pPr>
            <w:r>
              <w:rPr>
                <w:sz w:val="16"/>
              </w:rPr>
              <w:t>2021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soccer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91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2,092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1,121-3,064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23.7%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2158"/>
          </w:tcPr>
          <w:p>
            <w:pPr>
              <w:jc w:val="left"/>
            </w:pPr>
            <w:r>
              <w:rPr>
                <w:sz w:val="16"/>
              </w:rPr>
              <w:t>2021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volleyball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61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1,253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622-1,883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25.7%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2158"/>
          </w:tcPr>
          <w:p>
            <w:pPr>
              <w:jc w:val="left"/>
            </w:pPr>
            <w:r>
              <w:rPr>
                <w:sz w:val="16"/>
              </w:rPr>
              <w:t>2022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baseball/softball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106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3,350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2,032-4,668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20.1%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2158"/>
          </w:tcPr>
          <w:p>
            <w:pPr>
              <w:jc w:val="left"/>
            </w:pPr>
            <w:r>
              <w:rPr>
                <w:sz w:val="16"/>
              </w:rPr>
              <w:t>2022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basketball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443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11,276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7,260-15,293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18.2%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2158"/>
          </w:tcPr>
          <w:p>
            <w:pPr>
              <w:jc w:val="left"/>
            </w:pPr>
            <w:r>
              <w:rPr>
                <w:sz w:val="16"/>
              </w:rPr>
              <w:t>2022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football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525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14,103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8,316-19,890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20.9%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2158"/>
          </w:tcPr>
          <w:p>
            <w:pPr>
              <w:jc w:val="left"/>
            </w:pPr>
            <w:r>
              <w:rPr>
                <w:sz w:val="16"/>
              </w:rPr>
              <w:t>2022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other selected ball and stick sports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80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2,024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1,181-2,866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21.2%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2158"/>
          </w:tcPr>
          <w:p>
            <w:pPr>
              <w:jc w:val="left"/>
            </w:pPr>
            <w:r>
              <w:rPr>
                <w:sz w:val="16"/>
              </w:rPr>
              <w:t>2022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soccer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137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2,689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1,584-3,793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21.0%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2158"/>
          </w:tcPr>
          <w:p>
            <w:pPr>
              <w:jc w:val="left"/>
            </w:pPr>
            <w:r>
              <w:rPr>
                <w:sz w:val="16"/>
              </w:rPr>
              <w:t>2022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volleyball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59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2,095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999-3,191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26.7%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2158"/>
          </w:tcPr>
          <w:p>
            <w:pPr>
              <w:jc w:val="left"/>
            </w:pPr>
            <w:r>
              <w:rPr>
                <w:sz w:val="16"/>
              </w:rPr>
              <w:t>2023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baseball/softball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113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3,340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2,081-4,599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19.2%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2158"/>
          </w:tcPr>
          <w:p>
            <w:pPr>
              <w:jc w:val="left"/>
            </w:pPr>
            <w:r>
              <w:rPr>
                <w:sz w:val="16"/>
              </w:rPr>
              <w:t>2023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basketball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467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12,660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8,445-16,875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17.0%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2158"/>
          </w:tcPr>
          <w:p>
            <w:pPr>
              <w:jc w:val="left"/>
            </w:pPr>
            <w:r>
              <w:rPr>
                <w:sz w:val="16"/>
              </w:rPr>
              <w:t>2023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football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516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13,188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8,602-17,774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17.7%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2158"/>
          </w:tcPr>
          <w:p>
            <w:pPr>
              <w:jc w:val="left"/>
            </w:pPr>
            <w:r>
              <w:rPr>
                <w:sz w:val="16"/>
              </w:rPr>
              <w:t>2023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other selected ball and stick sports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64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2,002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1,106-2,899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22.8%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2158"/>
          </w:tcPr>
          <w:p>
            <w:pPr>
              <w:jc w:val="left"/>
            </w:pPr>
            <w:r>
              <w:rPr>
                <w:sz w:val="16"/>
              </w:rPr>
              <w:t>2023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soccer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134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3,092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1,499-4,686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26.3%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2158"/>
          </w:tcPr>
          <w:p>
            <w:pPr>
              <w:jc w:val="left"/>
            </w:pPr>
            <w:r>
              <w:rPr>
                <w:sz w:val="16"/>
              </w:rPr>
              <w:t>2023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volleyball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72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1,988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1,092-2,885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23.0%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2158"/>
          </w:tcPr>
          <w:p>
            <w:pPr>
              <w:jc w:val="left"/>
            </w:pPr>
            <w:r>
              <w:rPr>
                <w:sz w:val="16"/>
              </w:rPr>
              <w:t>2024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baseball/softball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110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3,317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2,147-4,487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18.0%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2158"/>
          </w:tcPr>
          <w:p>
            <w:pPr>
              <w:jc w:val="left"/>
            </w:pPr>
            <w:r>
              <w:rPr>
                <w:sz w:val="16"/>
              </w:rPr>
              <w:t>2024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basketball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474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14,667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10,576-18,759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14.2%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2158"/>
          </w:tcPr>
          <w:p>
            <w:pPr>
              <w:jc w:val="left"/>
            </w:pPr>
            <w:r>
              <w:rPr>
                <w:sz w:val="16"/>
              </w:rPr>
              <w:t>2024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football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567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16,793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12,466-21,120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13.1%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2158"/>
          </w:tcPr>
          <w:p>
            <w:pPr>
              <w:jc w:val="left"/>
            </w:pPr>
            <w:r>
              <w:rPr>
                <w:sz w:val="16"/>
              </w:rPr>
              <w:t>2024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other selected ball and stick sports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74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2,273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1,172-3,375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24.7%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2158"/>
          </w:tcPr>
          <w:p>
            <w:pPr>
              <w:jc w:val="left"/>
            </w:pPr>
            <w:r>
              <w:rPr>
                <w:sz w:val="16"/>
              </w:rPr>
              <w:t>2024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soccer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176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4,614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3,039-6,189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17.4%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2158"/>
          </w:tcPr>
          <w:p>
            <w:pPr>
              <w:jc w:val="left"/>
            </w:pPr>
            <w:r>
              <w:rPr>
                <w:sz w:val="16"/>
              </w:rPr>
              <w:t>2024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volleyball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62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1,940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1,125-2,755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21.4%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2158"/>
          </w:tcPr>
          <w:p>
            <w:pPr>
              <w:jc w:val="left"/>
            </w:pPr>
            <w:r>
              <w:rPr>
                <w:sz w:val="16"/>
              </w:rPr>
              <w:t>2025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baseball/softball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123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3,126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2,033-4,220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17.8%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2158"/>
          </w:tcPr>
          <w:p>
            <w:pPr>
              <w:jc w:val="left"/>
            </w:pPr>
            <w:r>
              <w:rPr>
                <w:sz w:val="16"/>
              </w:rPr>
              <w:t>2025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basketball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475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13,085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9,120-17,050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15.5%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2158"/>
          </w:tcPr>
          <w:p>
            <w:pPr>
              <w:jc w:val="left"/>
            </w:pPr>
            <w:r>
              <w:rPr>
                <w:sz w:val="16"/>
              </w:rPr>
              <w:t>2025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football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611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16,992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12,198-21,787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14.4%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2158"/>
          </w:tcPr>
          <w:p>
            <w:pPr>
              <w:jc w:val="left"/>
            </w:pPr>
            <w:r>
              <w:rPr>
                <w:sz w:val="16"/>
              </w:rPr>
              <w:t>2025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other selected ball and stick sports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85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2,738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1,619-3,856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20.8%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2158"/>
          </w:tcPr>
          <w:p>
            <w:pPr>
              <w:jc w:val="left"/>
            </w:pPr>
            <w:r>
              <w:rPr>
                <w:sz w:val="16"/>
              </w:rPr>
              <w:t>2025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soccer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180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4,736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3,030-6,442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18.4%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2158"/>
          </w:tcPr>
          <w:p>
            <w:pPr>
              <w:jc w:val="left"/>
            </w:pPr>
            <w:r>
              <w:rPr>
                <w:sz w:val="16"/>
              </w:rPr>
              <w:t>2025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volleyball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90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2,286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1,401-3,171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19.8%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</w:tbl>
    <w:p>
      <w:pPr>
        <w:spacing w:before="120"/>
      </w:pPr>
      <w:r>
        <w:rPr>
          <w:i/>
          <w:sz w:val="16"/>
        </w:rPr>
        <w:t>Instability flags follow CPSC criteria. CI, confidence interval; CV, coefficient of variation.</w:t>
      </w:r>
    </w:p>
    <w:p>
      <w:r>
        <w:br w:type="page"/>
      </w:r>
    </w:p>
    <w:p>
      <w:pPr>
        <w:spacing w:after="120"/>
      </w:pPr>
      <w:r>
        <w:rPr>
          <w:b/>
          <w:sz w:val="21"/>
        </w:rPr>
        <w:t>Supplementary Table S3b. Design-based trend models and key temporal contrasts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8"/>
        <w:gridCol w:w="1888"/>
        <w:gridCol w:w="1888"/>
        <w:gridCol w:w="1888"/>
        <w:gridCol w:w="1888"/>
        <w:gridCol w:w="1888"/>
        <w:gridCol w:w="1888"/>
        <w:gridCol w:w="1888"/>
      </w:tblGrid>
      <w:tr>
        <w:tc>
          <w:tcPr>
            <w:tcW w:type="dxa" w:w="1888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Period</w:t>
            </w:r>
          </w:p>
        </w:tc>
        <w:tc>
          <w:tcPr>
            <w:tcW w:type="dxa" w:w="1888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Years</w:t>
            </w:r>
          </w:p>
        </w:tc>
        <w:tc>
          <w:tcPr>
            <w:tcW w:type="dxa" w:w="1888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Slope (visits/year)</w:t>
            </w:r>
          </w:p>
        </w:tc>
        <w:tc>
          <w:tcPr>
            <w:tcW w:type="dxa" w:w="1888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95% CI</w:t>
            </w:r>
          </w:p>
        </w:tc>
        <w:tc>
          <w:tcPr>
            <w:tcW w:type="dxa" w:w="1888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p</w:t>
            </w:r>
          </w:p>
        </w:tc>
        <w:tc>
          <w:tcPr>
            <w:tcW w:type="dxa" w:w="1888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Annual % change</w:t>
            </w:r>
          </w:p>
        </w:tc>
        <w:tc>
          <w:tcPr>
            <w:tcW w:type="dxa" w:w="1888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95% CI</w:t>
            </w:r>
          </w:p>
        </w:tc>
        <w:tc>
          <w:tcPr>
            <w:tcW w:type="dxa" w:w="1888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p</w:t>
            </w:r>
          </w:p>
        </w:tc>
      </w:tr>
      <w:tr>
        <w:tc>
          <w:tcPr>
            <w:tcW w:type="dxa" w:w="1888"/>
          </w:tcPr>
          <w:p>
            <w:pPr>
              <w:jc w:val="left"/>
            </w:pPr>
            <w:r>
              <w:rPr>
                <w:sz w:val="16"/>
              </w:rPr>
              <w:t>Full study period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6"/>
              </w:rPr>
              <w:t>2015-2025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6"/>
              </w:rPr>
              <w:t>-716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6"/>
              </w:rPr>
              <w:t>-1,917 to 485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6"/>
              </w:rPr>
              <w:t>0.242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6"/>
              </w:rPr>
              <w:t>-2.5%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6"/>
              </w:rPr>
              <w:t>-5.0 to +0.1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6"/>
              </w:rPr>
              <w:t>0.064</w:t>
            </w:r>
          </w:p>
        </w:tc>
      </w:tr>
      <w:tr>
        <w:tc>
          <w:tcPr>
            <w:tcW w:type="dxa" w:w="1888"/>
          </w:tcPr>
          <w:p>
            <w:pPr>
              <w:jc w:val="left"/>
            </w:pPr>
            <w:r>
              <w:rPr>
                <w:sz w:val="16"/>
              </w:rPr>
              <w:t>Pre-pandemic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6"/>
              </w:rPr>
              <w:t>2015-2019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6"/>
              </w:rPr>
              <w:t>-3,021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6"/>
              </w:rPr>
              <w:t>-7,606 to 1,564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6"/>
              </w:rPr>
              <w:t>0.197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6"/>
              </w:rPr>
              <w:t>-6.2%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6"/>
              </w:rPr>
              <w:t>-14.9 to +3.3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6"/>
              </w:rPr>
              <w:t>0.194</w:t>
            </w:r>
          </w:p>
        </w:tc>
      </w:tr>
      <w:tr>
        <w:tc>
          <w:tcPr>
            <w:tcW w:type="dxa" w:w="1888"/>
          </w:tcPr>
          <w:p>
            <w:pPr>
              <w:jc w:val="left"/>
            </w:pPr>
            <w:r>
              <w:rPr>
                <w:sz w:val="16"/>
              </w:rPr>
              <w:t>Post-pandemic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6"/>
              </w:rPr>
              <w:t>2022-2025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6"/>
              </w:rPr>
              <w:t>3,021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6"/>
              </w:rPr>
              <w:t>-2,393 to 8,434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6"/>
              </w:rPr>
              <w:t>0.274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6"/>
              </w:rPr>
              <w:t>+7.8%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6"/>
              </w:rPr>
              <w:t>-6.2 to +24.0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6"/>
              </w:rPr>
              <w:t>0.291</w:t>
            </w:r>
          </w:p>
        </w:tc>
      </w:tr>
      <w:tr>
        <w:tc>
          <w:tcPr>
            <w:tcW w:type="dxa" w:w="1888"/>
          </w:tcPr>
          <w:p>
            <w:pPr>
              <w:jc w:val="left"/>
            </w:pPr>
            <w:r>
              <w:rPr>
                <w:sz w:val="16"/>
              </w:rPr>
              <w:t>Excluding pandemic years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6"/>
              </w:rPr>
              <w:t>2015-2025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6"/>
              </w:rPr>
              <w:t>-972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6"/>
              </w:rPr>
              <w:t>-2,180 to 237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6"/>
              </w:rPr>
              <w:t>0.115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6"/>
              </w:rPr>
              <w:t>-2.2%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6"/>
              </w:rPr>
              <w:t>-4.7 to +0.4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6"/>
              </w:rPr>
              <w:t>0.102</w:t>
            </w:r>
          </w:p>
        </w:tc>
      </w:tr>
    </w:tbl>
    <w:p>
      <w:pPr>
        <w:spacing w:before="120"/>
      </w:pPr>
      <w:r>
        <w:rPr>
          <w:i/>
          <w:sz w:val="16"/>
        </w:rPr>
        <w:t>Trend models regress annual weighted estimates on treatment year by inverse-variance weighted least squares using each year's design-based variance. Key contrasts (design-based ratios of weighted totals with Taylor-linearized variances): 2019 vs 2015, ratio 0.81 (95% CI 0.65-1.02; p=0.069); 2020 vs the 2015-2019 mean, ratio 0.38 (95% CI 0.32-0.46), i.e. 61.8% lower (95% CI 54.0-68.2% lower); 2020 vs 2019, ratio 0.42 (95% CI 0.36-0.49); 2022-2025 mean vs 2015-2019 mean, ratio 0.84 (95% CI 0.66-1.06). These analyses are descriptive; no causal interpretation is supported because participation and care-seeking denominators are unavailable.</w:t>
      </w:r>
    </w:p>
    <w:p>
      <w:r>
        <w:br w:type="page"/>
      </w:r>
    </w:p>
    <w:p>
      <w:pPr>
        <w:spacing w:after="120"/>
      </w:pPr>
      <w:r>
        <w:rPr>
          <w:b/>
          <w:sz w:val="21"/>
        </w:rPr>
        <w:t>Supplementary Table S4a. Sensitivity analysis by sport group, 2019-2025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8"/>
        <w:gridCol w:w="1888"/>
        <w:gridCol w:w="1888"/>
        <w:gridCol w:w="1888"/>
        <w:gridCol w:w="1888"/>
        <w:gridCol w:w="1888"/>
        <w:gridCol w:w="1888"/>
        <w:gridCol w:w="1888"/>
      </w:tblGrid>
      <w:tr>
        <w:tc>
          <w:tcPr>
            <w:tcW w:type="dxa" w:w="1888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Sport group</w:t>
            </w:r>
          </w:p>
        </w:tc>
        <w:tc>
          <w:tcPr>
            <w:tcW w:type="dxa" w:w="1888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Main cohort n</w:t>
            </w:r>
          </w:p>
        </w:tc>
        <w:tc>
          <w:tcPr>
            <w:tcW w:type="dxa" w:w="1888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Main cohort estimate</w:t>
            </w:r>
          </w:p>
        </w:tc>
        <w:tc>
          <w:tcPr>
            <w:tcW w:type="dxa" w:w="1888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95% CI</w:t>
            </w:r>
          </w:p>
        </w:tc>
        <w:tc>
          <w:tcPr>
            <w:tcW w:type="dxa" w:w="1888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Sensitivity n</w:t>
            </w:r>
          </w:p>
        </w:tc>
        <w:tc>
          <w:tcPr>
            <w:tcW w:type="dxa" w:w="1888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Sensitivity estimate</w:t>
            </w:r>
          </w:p>
        </w:tc>
        <w:tc>
          <w:tcPr>
            <w:tcW w:type="dxa" w:w="1888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95% CI</w:t>
            </w:r>
          </w:p>
        </w:tc>
        <w:tc>
          <w:tcPr>
            <w:tcW w:type="dxa" w:w="1888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Increase</w:t>
            </w:r>
          </w:p>
        </w:tc>
      </w:tr>
      <w:tr>
        <w:tc>
          <w:tcPr>
            <w:tcW w:type="dxa" w:w="1888"/>
          </w:tcPr>
          <w:p>
            <w:pPr>
              <w:jc w:val="left"/>
            </w:pPr>
            <w:r>
              <w:rPr>
                <w:sz w:val="16"/>
              </w:rPr>
              <w:t>baseball/softball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6"/>
              </w:rPr>
              <w:t>767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6"/>
              </w:rPr>
              <w:t>22,671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6"/>
              </w:rPr>
              <w:t>16,864-28,479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6"/>
              </w:rPr>
              <w:t>785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6"/>
              </w:rPr>
              <w:t>23,199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6"/>
              </w:rPr>
              <w:t>17,206-29,192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6"/>
              </w:rPr>
              <w:t>2.3%</w:t>
            </w:r>
          </w:p>
        </w:tc>
      </w:tr>
      <w:tr>
        <w:tc>
          <w:tcPr>
            <w:tcW w:type="dxa" w:w="1888"/>
          </w:tcPr>
          <w:p>
            <w:pPr>
              <w:jc w:val="left"/>
            </w:pPr>
            <w:r>
              <w:rPr>
                <w:sz w:val="16"/>
              </w:rPr>
              <w:t>basketball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6"/>
              </w:rPr>
              <w:t>3163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6"/>
              </w:rPr>
              <w:t>82,091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6"/>
              </w:rPr>
              <w:t>63,852-100,331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6"/>
              </w:rPr>
              <w:t>3212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6"/>
              </w:rPr>
              <w:t>84,046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6"/>
              </w:rPr>
              <w:t>65,384-102,709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6"/>
              </w:rPr>
              <w:t>2.4%</w:t>
            </w:r>
          </w:p>
        </w:tc>
      </w:tr>
      <w:tr>
        <w:tc>
          <w:tcPr>
            <w:tcW w:type="dxa" w:w="1888"/>
          </w:tcPr>
          <w:p>
            <w:pPr>
              <w:jc w:val="left"/>
            </w:pPr>
            <w:r>
              <w:rPr>
                <w:sz w:val="16"/>
              </w:rPr>
              <w:t>football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6"/>
              </w:rPr>
              <w:t>3538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6"/>
              </w:rPr>
              <w:t>95,056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6"/>
              </w:rPr>
              <w:t>72,015-118,096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6"/>
              </w:rPr>
              <w:t>3621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6"/>
              </w:rPr>
              <w:t>97,532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6"/>
              </w:rPr>
              <w:t>74,160-120,905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6"/>
              </w:rPr>
              <w:t>2.6%</w:t>
            </w:r>
          </w:p>
        </w:tc>
      </w:tr>
      <w:tr>
        <w:tc>
          <w:tcPr>
            <w:tcW w:type="dxa" w:w="1888"/>
          </w:tcPr>
          <w:p>
            <w:pPr>
              <w:jc w:val="left"/>
            </w:pPr>
            <w:r>
              <w:rPr>
                <w:sz w:val="16"/>
              </w:rPr>
              <w:t>other selected ball and stick sports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6"/>
              </w:rPr>
              <w:t>516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6"/>
              </w:rPr>
              <w:t>14,435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6"/>
              </w:rPr>
              <w:t>10,480-18,391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6"/>
              </w:rPr>
              <w:t>532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6"/>
              </w:rPr>
              <w:t>14,832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6"/>
              </w:rPr>
              <w:t>10,854-18,810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6"/>
              </w:rPr>
              <w:t>2.7%</w:t>
            </w:r>
          </w:p>
        </w:tc>
      </w:tr>
      <w:tr>
        <w:tc>
          <w:tcPr>
            <w:tcW w:type="dxa" w:w="1888"/>
          </w:tcPr>
          <w:p>
            <w:pPr>
              <w:jc w:val="left"/>
            </w:pPr>
            <w:r>
              <w:rPr>
                <w:sz w:val="16"/>
              </w:rPr>
              <w:t>soccer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6"/>
              </w:rPr>
              <w:t>887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6"/>
              </w:rPr>
              <w:t>21,367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6"/>
              </w:rPr>
              <w:t>15,157-27,578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6"/>
              </w:rPr>
              <w:t>914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6"/>
              </w:rPr>
              <w:t>21,977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6"/>
              </w:rPr>
              <w:t>15,710-28,245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6"/>
              </w:rPr>
              <w:t>2.9%</w:t>
            </w:r>
          </w:p>
        </w:tc>
      </w:tr>
      <w:tr>
        <w:tc>
          <w:tcPr>
            <w:tcW w:type="dxa" w:w="1888"/>
          </w:tcPr>
          <w:p>
            <w:pPr>
              <w:jc w:val="left"/>
            </w:pPr>
            <w:r>
              <w:rPr>
                <w:sz w:val="16"/>
              </w:rPr>
              <w:t>volleyball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6"/>
              </w:rPr>
              <w:t>429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6"/>
              </w:rPr>
              <w:t>12,106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6"/>
              </w:rPr>
              <w:t>8,626-15,587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6"/>
              </w:rPr>
              <w:t>438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6"/>
              </w:rPr>
              <w:t>12,482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6"/>
              </w:rPr>
              <w:t>8,939-16,025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6"/>
              </w:rPr>
              <w:t>3.1%</w:t>
            </w:r>
          </w:p>
        </w:tc>
      </w:tr>
      <w:tr>
        <w:tc>
          <w:tcPr>
            <w:tcW w:type="dxa" w:w="1888"/>
          </w:tcPr>
          <w:p>
            <w:pPr>
              <w:jc w:val="left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b/>
                <w:sz w:val="16"/>
              </w:rPr>
              <w:t>9300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b/>
                <w:sz w:val="16"/>
              </w:rPr>
              <w:t>247,727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b/>
                <w:sz w:val="16"/>
              </w:rPr>
              <w:t>191,372-304,083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b/>
                <w:sz w:val="16"/>
              </w:rPr>
              <w:t>9502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b/>
                <w:sz w:val="16"/>
              </w:rPr>
              <w:t>254,069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b/>
                <w:sz w:val="16"/>
              </w:rPr>
              <w:t>196,753-311,385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b/>
                <w:sz w:val="16"/>
              </w:rPr>
              <w:t>2.6%</w:t>
            </w:r>
          </w:p>
        </w:tc>
      </w:tr>
    </w:tbl>
    <w:p>
      <w:pPr>
        <w:spacing w:before="120"/>
      </w:pPr>
      <w:r>
        <w:rPr>
          <w:i/>
          <w:sz w:val="16"/>
        </w:rPr>
        <w:t>The main cohort is restricted to 2019-2025 so that the two definitions cover the same period. The sensitivity cohort additionally uses Body_Part_2, Diagnosis_2, and Product_3, which were introduced with 2019 treatment dates. The increment is near-uniform across sport groups (2.3% to 3.1%).</w:t>
      </w:r>
    </w:p>
    <w:p>
      <w:r>
        <w:br w:type="page"/>
      </w:r>
    </w:p>
    <w:p>
      <w:pPr>
        <w:spacing w:after="120"/>
      </w:pPr>
      <w:r>
        <w:rPr>
          <w:b/>
          <w:sz w:val="21"/>
        </w:rPr>
        <w:t>Supplementary Table S4b. Primary model refitted on the expanded sensitivity cohort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76"/>
        <w:gridCol w:w="3776"/>
        <w:gridCol w:w="3776"/>
        <w:gridCol w:w="3776"/>
      </w:tblGrid>
      <w:tr>
        <w:tc>
          <w:tcPr>
            <w:tcW w:type="dxa" w:w="3776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Predictor</w:t>
            </w:r>
          </w:p>
        </w:tc>
        <w:tc>
          <w:tcPr>
            <w:tcW w:type="dxa" w:w="3776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Main cohort 2019-2025</w:t>
            </w:r>
          </w:p>
        </w:tc>
        <w:tc>
          <w:tcPr>
            <w:tcW w:type="dxa" w:w="3776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Expanded sensitivity cohort</w:t>
            </w:r>
          </w:p>
        </w:tc>
        <w:tc>
          <w:tcPr>
            <w:tcW w:type="dxa" w:w="3776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Relative change in OR</w:t>
            </w:r>
          </w:p>
        </w:tc>
      </w:tr>
      <w:tr>
        <w:tc>
          <w:tcPr>
            <w:tcW w:type="dxa" w:w="3776"/>
          </w:tcPr>
          <w:p>
            <w:pPr>
              <w:jc w:val="left"/>
            </w:pPr>
            <w:r>
              <w:rPr>
                <w:sz w:val="16"/>
              </w:rPr>
              <w:t>baseball/softball</w:t>
            </w:r>
          </w:p>
        </w:tc>
        <w:tc>
          <w:tcPr>
            <w:tcW w:type="dxa" w:w="3776"/>
          </w:tcPr>
          <w:p>
            <w:pPr>
              <w:jc w:val="center"/>
            </w:pPr>
            <w:r>
              <w:rPr>
                <w:sz w:val="16"/>
              </w:rPr>
              <w:t>0.65 (0.46-0.92)</w:t>
            </w:r>
          </w:p>
        </w:tc>
        <w:tc>
          <w:tcPr>
            <w:tcW w:type="dxa" w:w="3776"/>
          </w:tcPr>
          <w:p>
            <w:pPr>
              <w:jc w:val="center"/>
            </w:pPr>
            <w:r>
              <w:rPr>
                <w:sz w:val="16"/>
              </w:rPr>
              <w:t>0.66 (0.47-0.92)</w:t>
            </w:r>
          </w:p>
        </w:tc>
        <w:tc>
          <w:tcPr>
            <w:tcW w:type="dxa" w:w="3776"/>
          </w:tcPr>
          <w:p>
            <w:pPr>
              <w:jc w:val="center"/>
            </w:pPr>
            <w:r>
              <w:rPr>
                <w:sz w:val="16"/>
              </w:rPr>
              <w:t>0.9%</w:t>
            </w:r>
          </w:p>
        </w:tc>
      </w:tr>
      <w:tr>
        <w:tc>
          <w:tcPr>
            <w:tcW w:type="dxa" w:w="3776"/>
          </w:tcPr>
          <w:p>
            <w:pPr>
              <w:jc w:val="left"/>
            </w:pPr>
            <w:r>
              <w:rPr>
                <w:sz w:val="16"/>
              </w:rPr>
              <w:t>basketball</w:t>
            </w:r>
          </w:p>
        </w:tc>
        <w:tc>
          <w:tcPr>
            <w:tcW w:type="dxa" w:w="3776"/>
          </w:tcPr>
          <w:p>
            <w:pPr>
              <w:jc w:val="center"/>
            </w:pPr>
            <w:r>
              <w:rPr>
                <w:sz w:val="16"/>
              </w:rPr>
              <w:t>1.12 (0.96-1.29)</w:t>
            </w:r>
          </w:p>
        </w:tc>
        <w:tc>
          <w:tcPr>
            <w:tcW w:type="dxa" w:w="3776"/>
          </w:tcPr>
          <w:p>
            <w:pPr>
              <w:jc w:val="center"/>
            </w:pPr>
            <w:r>
              <w:rPr>
                <w:sz w:val="16"/>
              </w:rPr>
              <w:t>1.11 (0.96-1.28)</w:t>
            </w:r>
          </w:p>
        </w:tc>
        <w:tc>
          <w:tcPr>
            <w:tcW w:type="dxa" w:w="3776"/>
          </w:tcPr>
          <w:p>
            <w:pPr>
              <w:jc w:val="center"/>
            </w:pPr>
            <w:r>
              <w:rPr>
                <w:sz w:val="16"/>
              </w:rPr>
              <w:t>0.7%</w:t>
            </w:r>
          </w:p>
        </w:tc>
      </w:tr>
      <w:tr>
        <w:tc>
          <w:tcPr>
            <w:tcW w:type="dxa" w:w="3776"/>
          </w:tcPr>
          <w:p>
            <w:pPr>
              <w:jc w:val="left"/>
            </w:pPr>
            <w:r>
              <w:rPr>
                <w:sz w:val="16"/>
              </w:rPr>
              <w:t>other selected ball and stick sports</w:t>
            </w:r>
          </w:p>
        </w:tc>
        <w:tc>
          <w:tcPr>
            <w:tcW w:type="dxa" w:w="3776"/>
          </w:tcPr>
          <w:p>
            <w:pPr>
              <w:jc w:val="center"/>
            </w:pPr>
            <w:r>
              <w:rPr>
                <w:sz w:val="16"/>
              </w:rPr>
              <w:t>0.73 (0.46-1.17)</w:t>
            </w:r>
          </w:p>
        </w:tc>
        <w:tc>
          <w:tcPr>
            <w:tcW w:type="dxa" w:w="3776"/>
          </w:tcPr>
          <w:p>
            <w:pPr>
              <w:jc w:val="center"/>
            </w:pPr>
            <w:r>
              <w:rPr>
                <w:sz w:val="16"/>
              </w:rPr>
              <w:t>0.77 (0.49-1.20)</w:t>
            </w:r>
          </w:p>
        </w:tc>
        <w:tc>
          <w:tcPr>
            <w:tcW w:type="dxa" w:w="3776"/>
          </w:tcPr>
          <w:p>
            <w:pPr>
              <w:jc w:val="center"/>
            </w:pPr>
            <w:r>
              <w:rPr>
                <w:sz w:val="16"/>
              </w:rPr>
              <w:t>4.6%</w:t>
            </w:r>
          </w:p>
        </w:tc>
      </w:tr>
      <w:tr>
        <w:tc>
          <w:tcPr>
            <w:tcW w:type="dxa" w:w="3776"/>
          </w:tcPr>
          <w:p>
            <w:pPr>
              <w:jc w:val="left"/>
            </w:pPr>
            <w:r>
              <w:rPr>
                <w:sz w:val="16"/>
              </w:rPr>
              <w:t>soccer</w:t>
            </w:r>
          </w:p>
        </w:tc>
        <w:tc>
          <w:tcPr>
            <w:tcW w:type="dxa" w:w="3776"/>
          </w:tcPr>
          <w:p>
            <w:pPr>
              <w:jc w:val="center"/>
            </w:pPr>
            <w:r>
              <w:rPr>
                <w:sz w:val="16"/>
              </w:rPr>
              <w:t>0.85 (0.62-1.17)</w:t>
            </w:r>
          </w:p>
        </w:tc>
        <w:tc>
          <w:tcPr>
            <w:tcW w:type="dxa" w:w="3776"/>
          </w:tcPr>
          <w:p>
            <w:pPr>
              <w:jc w:val="center"/>
            </w:pPr>
            <w:r>
              <w:rPr>
                <w:sz w:val="16"/>
              </w:rPr>
              <w:t>0.84 (0.62-1.14)</w:t>
            </w:r>
          </w:p>
        </w:tc>
        <w:tc>
          <w:tcPr>
            <w:tcW w:type="dxa" w:w="3776"/>
          </w:tcPr>
          <w:p>
            <w:pPr>
              <w:jc w:val="center"/>
            </w:pPr>
            <w:r>
              <w:rPr>
                <w:sz w:val="16"/>
              </w:rPr>
              <w:t>1.2%</w:t>
            </w:r>
          </w:p>
        </w:tc>
      </w:tr>
      <w:tr>
        <w:tc>
          <w:tcPr>
            <w:tcW w:type="dxa" w:w="3776"/>
          </w:tcPr>
          <w:p>
            <w:pPr>
              <w:jc w:val="left"/>
            </w:pPr>
            <w:r>
              <w:rPr>
                <w:sz w:val="16"/>
              </w:rPr>
              <w:t>volleyball</w:t>
            </w:r>
          </w:p>
        </w:tc>
        <w:tc>
          <w:tcPr>
            <w:tcW w:type="dxa" w:w="3776"/>
          </w:tcPr>
          <w:p>
            <w:pPr>
              <w:jc w:val="center"/>
            </w:pPr>
            <w:r>
              <w:rPr>
                <w:sz w:val="16"/>
              </w:rPr>
              <w:t>1.07 (0.75-1.53)</w:t>
            </w:r>
          </w:p>
        </w:tc>
        <w:tc>
          <w:tcPr>
            <w:tcW w:type="dxa" w:w="3776"/>
          </w:tcPr>
          <w:p>
            <w:pPr>
              <w:jc w:val="center"/>
            </w:pPr>
            <w:r>
              <w:rPr>
                <w:sz w:val="16"/>
              </w:rPr>
              <w:t>1.07 (0.76-1.50)</w:t>
            </w:r>
          </w:p>
        </w:tc>
        <w:tc>
          <w:tcPr>
            <w:tcW w:type="dxa" w:w="3776"/>
          </w:tcPr>
          <w:p>
            <w:pPr>
              <w:jc w:val="center"/>
            </w:pPr>
            <w:r>
              <w:rPr>
                <w:sz w:val="16"/>
              </w:rPr>
              <w:t>0.1%</w:t>
            </w:r>
          </w:p>
        </w:tc>
      </w:tr>
      <w:tr>
        <w:tc>
          <w:tcPr>
            <w:tcW w:type="dxa" w:w="3776"/>
          </w:tcPr>
          <w:p>
            <w:pPr>
              <w:jc w:val="left"/>
            </w:pPr>
            <w:r>
              <w:rPr>
                <w:sz w:val="16"/>
              </w:rPr>
              <w:t>13-15</w:t>
            </w:r>
          </w:p>
        </w:tc>
        <w:tc>
          <w:tcPr>
            <w:tcW w:type="dxa" w:w="3776"/>
          </w:tcPr>
          <w:p>
            <w:pPr>
              <w:jc w:val="center"/>
            </w:pPr>
            <w:r>
              <w:rPr>
                <w:sz w:val="16"/>
              </w:rPr>
              <w:t>1.80 (1.45-2.22)</w:t>
            </w:r>
          </w:p>
        </w:tc>
        <w:tc>
          <w:tcPr>
            <w:tcW w:type="dxa" w:w="3776"/>
          </w:tcPr>
          <w:p>
            <w:pPr>
              <w:jc w:val="center"/>
            </w:pPr>
            <w:r>
              <w:rPr>
                <w:sz w:val="16"/>
              </w:rPr>
              <w:t>1.76 (1.43-2.17)</w:t>
            </w:r>
          </w:p>
        </w:tc>
        <w:tc>
          <w:tcPr>
            <w:tcW w:type="dxa" w:w="3776"/>
          </w:tcPr>
          <w:p>
            <w:pPr>
              <w:jc w:val="center"/>
            </w:pPr>
            <w:r>
              <w:rPr>
                <w:sz w:val="16"/>
              </w:rPr>
              <w:t>1.8%</w:t>
            </w:r>
          </w:p>
        </w:tc>
      </w:tr>
      <w:tr>
        <w:tc>
          <w:tcPr>
            <w:tcW w:type="dxa" w:w="3776"/>
          </w:tcPr>
          <w:p>
            <w:pPr>
              <w:jc w:val="left"/>
            </w:pPr>
            <w:r>
              <w:rPr>
                <w:sz w:val="16"/>
              </w:rPr>
              <w:t>16-18</w:t>
            </w:r>
          </w:p>
        </w:tc>
        <w:tc>
          <w:tcPr>
            <w:tcW w:type="dxa" w:w="3776"/>
          </w:tcPr>
          <w:p>
            <w:pPr>
              <w:jc w:val="center"/>
            </w:pPr>
            <w:r>
              <w:rPr>
                <w:sz w:val="16"/>
              </w:rPr>
              <w:t>4.61 (3.57-5.95)</w:t>
            </w:r>
          </w:p>
        </w:tc>
        <w:tc>
          <w:tcPr>
            <w:tcW w:type="dxa" w:w="3776"/>
          </w:tcPr>
          <w:p>
            <w:pPr>
              <w:jc w:val="center"/>
            </w:pPr>
            <w:r>
              <w:rPr>
                <w:sz w:val="16"/>
              </w:rPr>
              <w:t>4.59 (3.58-5.90)</w:t>
            </w:r>
          </w:p>
        </w:tc>
        <w:tc>
          <w:tcPr>
            <w:tcW w:type="dxa" w:w="3776"/>
          </w:tcPr>
          <w:p>
            <w:pPr>
              <w:jc w:val="center"/>
            </w:pPr>
            <w:r>
              <w:rPr>
                <w:sz w:val="16"/>
              </w:rPr>
              <w:t>0.3%</w:t>
            </w:r>
          </w:p>
        </w:tc>
      </w:tr>
      <w:tr>
        <w:tc>
          <w:tcPr>
            <w:tcW w:type="dxa" w:w="3776"/>
          </w:tcPr>
          <w:p>
            <w:pPr>
              <w:jc w:val="left"/>
            </w:pPr>
            <w:r>
              <w:rPr>
                <w:sz w:val="16"/>
              </w:rPr>
              <w:t>male</w:t>
            </w:r>
          </w:p>
        </w:tc>
        <w:tc>
          <w:tcPr>
            <w:tcW w:type="dxa" w:w="3776"/>
          </w:tcPr>
          <w:p>
            <w:pPr>
              <w:jc w:val="center"/>
            </w:pPr>
            <w:r>
              <w:rPr>
                <w:sz w:val="16"/>
              </w:rPr>
              <w:t>1.91 (1.47-2.47)</w:t>
            </w:r>
          </w:p>
        </w:tc>
        <w:tc>
          <w:tcPr>
            <w:tcW w:type="dxa" w:w="3776"/>
          </w:tcPr>
          <w:p>
            <w:pPr>
              <w:jc w:val="center"/>
            </w:pPr>
            <w:r>
              <w:rPr>
                <w:sz w:val="16"/>
              </w:rPr>
              <w:t>1.89 (1.46-2.45)</w:t>
            </w:r>
          </w:p>
        </w:tc>
        <w:tc>
          <w:tcPr>
            <w:tcW w:type="dxa" w:w="3776"/>
          </w:tcPr>
          <w:p>
            <w:pPr>
              <w:jc w:val="center"/>
            </w:pPr>
            <w:r>
              <w:rPr>
                <w:sz w:val="16"/>
              </w:rPr>
              <w:t>0.8%</w:t>
            </w:r>
          </w:p>
        </w:tc>
      </w:tr>
      <w:tr>
        <w:tc>
          <w:tcPr>
            <w:tcW w:type="dxa" w:w="3776"/>
          </w:tcPr>
          <w:p>
            <w:pPr>
              <w:jc w:val="left"/>
            </w:pPr>
            <w:r>
              <w:rPr>
                <w:sz w:val="16"/>
              </w:rPr>
              <w:t>year_centered</w:t>
            </w:r>
          </w:p>
        </w:tc>
        <w:tc>
          <w:tcPr>
            <w:tcW w:type="dxa" w:w="3776"/>
          </w:tcPr>
          <w:p>
            <w:pPr>
              <w:jc w:val="center"/>
            </w:pPr>
            <w:r>
              <w:rPr>
                <w:sz w:val="16"/>
              </w:rPr>
              <w:t>0.98 (0.93-1.03)</w:t>
            </w:r>
          </w:p>
        </w:tc>
        <w:tc>
          <w:tcPr>
            <w:tcW w:type="dxa" w:w="3776"/>
          </w:tcPr>
          <w:p>
            <w:pPr>
              <w:jc w:val="center"/>
            </w:pPr>
            <w:r>
              <w:rPr>
                <w:sz w:val="16"/>
              </w:rPr>
              <w:t>0.97 (0.93-1.02)</w:t>
            </w:r>
          </w:p>
        </w:tc>
        <w:tc>
          <w:tcPr>
            <w:tcW w:type="dxa" w:w="3776"/>
          </w:tcPr>
          <w:p>
            <w:pPr>
              <w:jc w:val="center"/>
            </w:pPr>
            <w:r>
              <w:rPr>
                <w:sz w:val="16"/>
              </w:rPr>
              <w:t>0.6%</w:t>
            </w:r>
          </w:p>
        </w:tc>
      </w:tr>
    </w:tbl>
    <w:p>
      <w:pPr>
        <w:spacing w:before="120"/>
      </w:pPr>
      <w:r>
        <w:rPr>
          <w:i/>
          <w:sz w:val="16"/>
        </w:rPr>
        <w:t>No adjusted odds ratio changed by more than 4.6% in relative terms; all confidence intervals overlap substantially and no comparison changed direction or crossed a conventional significance threshold. OR, odds ratio.</w:t>
      </w:r>
    </w:p>
    <w:p>
      <w:r>
        <w:br w:type="page"/>
      </w:r>
    </w:p>
    <w:p>
      <w:pPr>
        <w:spacing w:after="120"/>
      </w:pPr>
      <w:r>
        <w:rPr>
          <w:b/>
          <w:sz w:val="21"/>
        </w:rPr>
        <w:t>Supplementary Table S5. Narrative mechanism classification, 2019-2025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  <w:gridCol w:w="2158"/>
        <w:gridCol w:w="2158"/>
        <w:gridCol w:w="2158"/>
      </w:tblGrid>
      <w:tr>
        <w:tc>
          <w:tcPr>
            <w:tcW w:type="dxa" w:w="2158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Mechanism</w:t>
            </w:r>
          </w:p>
        </w:tc>
        <w:tc>
          <w:tcPr>
            <w:tcW w:type="dxa" w:w="2158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Unweighted n</w:t>
            </w:r>
          </w:p>
        </w:tc>
        <w:tc>
          <w:tcPr>
            <w:tcW w:type="dxa" w:w="2158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Weighted estimate</w:t>
            </w:r>
          </w:p>
        </w:tc>
        <w:tc>
          <w:tcPr>
            <w:tcW w:type="dxa" w:w="2158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95% CI</w:t>
            </w:r>
          </w:p>
        </w:tc>
        <w:tc>
          <w:tcPr>
            <w:tcW w:type="dxa" w:w="2158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CV</w:t>
            </w:r>
          </w:p>
        </w:tc>
        <w:tc>
          <w:tcPr>
            <w:tcW w:type="dxa" w:w="2158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Weighted %</w:t>
            </w:r>
          </w:p>
        </w:tc>
        <w:tc>
          <w:tcPr>
            <w:tcW w:type="dxa" w:w="2158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95% CI for %</w:t>
            </w:r>
          </w:p>
        </w:tc>
      </w:tr>
      <w:tr>
        <w:tc>
          <w:tcPr>
            <w:tcW w:type="dxa" w:w="2158"/>
          </w:tcPr>
          <w:p>
            <w:pPr>
              <w:jc w:val="left"/>
            </w:pPr>
            <w:r>
              <w:rPr>
                <w:sz w:val="16"/>
              </w:rPr>
              <w:t>unclear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4119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117,971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96,497-139,446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9.3%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47.6%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40.6-55.9</w:t>
            </w:r>
          </w:p>
        </w:tc>
      </w:tr>
      <w:tr>
        <w:tc>
          <w:tcPr>
            <w:tcW w:type="dxa" w:w="2158"/>
          </w:tcPr>
          <w:p>
            <w:pPr>
              <w:jc w:val="left"/>
            </w:pPr>
            <w:r>
              <w:rPr>
                <w:sz w:val="16"/>
              </w:rPr>
              <w:t>jamming/hyperextension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2666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74,214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41,046-107,381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22.8%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30.0%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23.0-39.0</w:t>
            </w:r>
          </w:p>
        </w:tc>
      </w:tr>
      <w:tr>
        <w:tc>
          <w:tcPr>
            <w:tcW w:type="dxa" w:w="2158"/>
          </w:tcPr>
          <w:p>
            <w:pPr>
              <w:jc w:val="left"/>
            </w:pPr>
            <w:r>
              <w:rPr>
                <w:sz w:val="16"/>
              </w:rPr>
              <w:t>ball impact/catching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1127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25,444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18,888-31,999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13.1%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10.3%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8.6-12.3</w:t>
            </w:r>
          </w:p>
        </w:tc>
      </w:tr>
      <w:tr>
        <w:tc>
          <w:tcPr>
            <w:tcW w:type="dxa" w:w="2158"/>
          </w:tcPr>
          <w:p>
            <w:pPr>
              <w:jc w:val="left"/>
            </w:pPr>
            <w:r>
              <w:rPr>
                <w:sz w:val="16"/>
              </w:rPr>
              <w:t>fall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779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15,646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11,588-19,703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13.2%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6.3%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5.5-7.3</w:t>
            </w:r>
          </w:p>
        </w:tc>
      </w:tr>
      <w:tr>
        <w:tc>
          <w:tcPr>
            <w:tcW w:type="dxa" w:w="2158"/>
          </w:tcPr>
          <w:p>
            <w:pPr>
              <w:jc w:val="left"/>
            </w:pPr>
            <w:r>
              <w:rPr>
                <w:sz w:val="16"/>
              </w:rPr>
              <w:t>collision/contact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467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11,122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8,023-14,222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14.2%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4.5%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3.8-5.4</w:t>
            </w:r>
          </w:p>
        </w:tc>
      </w:tr>
      <w:tr>
        <w:tc>
          <w:tcPr>
            <w:tcW w:type="dxa" w:w="2158"/>
          </w:tcPr>
          <w:p>
            <w:pPr>
              <w:jc w:val="left"/>
            </w:pPr>
            <w:r>
              <w:rPr>
                <w:sz w:val="16"/>
              </w:rPr>
              <w:t>equipment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142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3,331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2,195-4,466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17.4%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1.3%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sz w:val="16"/>
              </w:rPr>
              <w:t>1.0-1.8</w:t>
            </w:r>
          </w:p>
        </w:tc>
      </w:tr>
    </w:tbl>
    <w:p>
      <w:pPr>
        <w:spacing w:before="120"/>
      </w:pPr>
      <w:r>
        <w:rPr>
          <w:i/>
          <w:sz w:val="16"/>
        </w:rPr>
        <w:t>Mechanism was unclassifiable in 47.6% of records, the largest single category. Classified proportions are therefore LOWER BOUNDS on each mechanism's true frequency rather than estimates of mechanism prevalence. Mechanism classification is descriptive and is restricted to 2019-2025 because maximum narrative length changed with 2019 treatment dates. CI, confidence interval; CV, coefficient of variation.</w:t>
      </w:r>
    </w:p>
    <w:p>
      <w:r>
        <w:br w:type="page"/>
      </w:r>
    </w:p>
    <w:p>
      <w:pPr>
        <w:spacing w:after="120"/>
      </w:pPr>
      <w:r>
        <w:rPr>
          <w:b/>
          <w:sz w:val="21"/>
        </w:rPr>
        <w:t>Supplementary Table S6. Missingness summary for analytic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35"/>
        <w:gridCol w:w="5035"/>
        <w:gridCol w:w="5035"/>
      </w:tblGrid>
      <w:tr>
        <w:tc>
          <w:tcPr>
            <w:tcW w:type="dxa" w:w="5035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Analytic variable</w:t>
            </w:r>
          </w:p>
        </w:tc>
        <w:tc>
          <w:tcPr>
            <w:tcW w:type="dxa" w:w="5035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Missing n</w:t>
            </w:r>
          </w:p>
        </w:tc>
        <w:tc>
          <w:tcPr>
            <w:tcW w:type="dxa" w:w="5035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Missing %</w:t>
            </w:r>
          </w:p>
        </w:tc>
      </w:tr>
      <w:tr>
        <w:tc>
          <w:tcPr>
            <w:tcW w:type="dxa" w:w="5035"/>
          </w:tcPr>
          <w:p>
            <w:pPr>
              <w:jc w:val="left"/>
            </w:pPr>
            <w:r>
              <w:rPr>
                <w:sz w:val="16"/>
              </w:rPr>
              <w:t>case_id</w:t>
            </w:r>
          </w:p>
        </w:tc>
        <w:tc>
          <w:tcPr>
            <w:tcW w:type="dxa" w:w="503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5035"/>
          </w:tcPr>
          <w:p>
            <w:pPr>
              <w:jc w:val="center"/>
            </w:pPr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5035"/>
          </w:tcPr>
          <w:p>
            <w:pPr>
              <w:jc w:val="left"/>
            </w:pPr>
            <w:r>
              <w:rPr>
                <w:sz w:val="16"/>
              </w:rPr>
              <w:t>treatment_date</w:t>
            </w:r>
          </w:p>
        </w:tc>
        <w:tc>
          <w:tcPr>
            <w:tcW w:type="dxa" w:w="503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5035"/>
          </w:tcPr>
          <w:p>
            <w:pPr>
              <w:jc w:val="center"/>
            </w:pPr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5035"/>
          </w:tcPr>
          <w:p>
            <w:pPr>
              <w:jc w:val="left"/>
            </w:pPr>
            <w:r>
              <w:rPr>
                <w:sz w:val="16"/>
              </w:rPr>
              <w:t>year</w:t>
            </w:r>
          </w:p>
        </w:tc>
        <w:tc>
          <w:tcPr>
            <w:tcW w:type="dxa" w:w="503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5035"/>
          </w:tcPr>
          <w:p>
            <w:pPr>
              <w:jc w:val="center"/>
            </w:pPr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5035"/>
          </w:tcPr>
          <w:p>
            <w:pPr>
              <w:jc w:val="left"/>
            </w:pPr>
            <w:r>
              <w:rPr>
                <w:sz w:val="16"/>
              </w:rPr>
              <w:t>age</w:t>
            </w:r>
          </w:p>
        </w:tc>
        <w:tc>
          <w:tcPr>
            <w:tcW w:type="dxa" w:w="503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5035"/>
          </w:tcPr>
          <w:p>
            <w:pPr>
              <w:jc w:val="center"/>
            </w:pPr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5035"/>
          </w:tcPr>
          <w:p>
            <w:pPr>
              <w:jc w:val="left"/>
            </w:pPr>
            <w:r>
              <w:rPr>
                <w:sz w:val="16"/>
              </w:rPr>
              <w:t>sex</w:t>
            </w:r>
          </w:p>
        </w:tc>
        <w:tc>
          <w:tcPr>
            <w:tcW w:type="dxa" w:w="503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5035"/>
          </w:tcPr>
          <w:p>
            <w:pPr>
              <w:jc w:val="center"/>
            </w:pPr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5035"/>
          </w:tcPr>
          <w:p>
            <w:pPr>
              <w:jc w:val="left"/>
            </w:pPr>
            <w:r>
              <w:rPr>
                <w:sz w:val="16"/>
              </w:rPr>
              <w:t>body_part</w:t>
            </w:r>
          </w:p>
        </w:tc>
        <w:tc>
          <w:tcPr>
            <w:tcW w:type="dxa" w:w="503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5035"/>
          </w:tcPr>
          <w:p>
            <w:pPr>
              <w:jc w:val="center"/>
            </w:pPr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5035"/>
          </w:tcPr>
          <w:p>
            <w:pPr>
              <w:jc w:val="left"/>
            </w:pPr>
            <w:r>
              <w:rPr>
                <w:sz w:val="16"/>
              </w:rPr>
              <w:t>diagnosis</w:t>
            </w:r>
          </w:p>
        </w:tc>
        <w:tc>
          <w:tcPr>
            <w:tcW w:type="dxa" w:w="503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5035"/>
          </w:tcPr>
          <w:p>
            <w:pPr>
              <w:jc w:val="center"/>
            </w:pPr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5035"/>
          </w:tcPr>
          <w:p>
            <w:pPr>
              <w:jc w:val="left"/>
            </w:pPr>
            <w:r>
              <w:rPr>
                <w:sz w:val="16"/>
              </w:rPr>
              <w:t>body_part_2</w:t>
            </w:r>
          </w:p>
        </w:tc>
        <w:tc>
          <w:tcPr>
            <w:tcW w:type="dxa" w:w="5035"/>
          </w:tcPr>
          <w:p>
            <w:pPr>
              <w:jc w:val="center"/>
            </w:pPr>
            <w:r>
              <w:rPr>
                <w:sz w:val="16"/>
              </w:rPr>
              <w:t>15,420</w:t>
            </w:r>
          </w:p>
        </w:tc>
        <w:tc>
          <w:tcPr>
            <w:tcW w:type="dxa" w:w="5035"/>
          </w:tcPr>
          <w:p>
            <w:pPr>
              <w:jc w:val="center"/>
            </w:pPr>
            <w:r>
              <w:rPr>
                <w:sz w:val="16"/>
              </w:rPr>
              <w:t>96.0%</w:t>
            </w:r>
          </w:p>
        </w:tc>
      </w:tr>
      <w:tr>
        <w:tc>
          <w:tcPr>
            <w:tcW w:type="dxa" w:w="5035"/>
          </w:tcPr>
          <w:p>
            <w:pPr>
              <w:jc w:val="left"/>
            </w:pPr>
            <w:r>
              <w:rPr>
                <w:sz w:val="16"/>
              </w:rPr>
              <w:t>diagnosis_2</w:t>
            </w:r>
          </w:p>
        </w:tc>
        <w:tc>
          <w:tcPr>
            <w:tcW w:type="dxa" w:w="5035"/>
          </w:tcPr>
          <w:p>
            <w:pPr>
              <w:jc w:val="center"/>
            </w:pPr>
            <w:r>
              <w:rPr>
                <w:sz w:val="16"/>
              </w:rPr>
              <w:t>15,420</w:t>
            </w:r>
          </w:p>
        </w:tc>
        <w:tc>
          <w:tcPr>
            <w:tcW w:type="dxa" w:w="5035"/>
          </w:tcPr>
          <w:p>
            <w:pPr>
              <w:jc w:val="center"/>
            </w:pPr>
            <w:r>
              <w:rPr>
                <w:sz w:val="16"/>
              </w:rPr>
              <w:t>96.0%</w:t>
            </w:r>
          </w:p>
        </w:tc>
      </w:tr>
      <w:tr>
        <w:tc>
          <w:tcPr>
            <w:tcW w:type="dxa" w:w="5035"/>
          </w:tcPr>
          <w:p>
            <w:pPr>
              <w:jc w:val="left"/>
            </w:pPr>
            <w:r>
              <w:rPr>
                <w:sz w:val="16"/>
              </w:rPr>
              <w:t>disposition</w:t>
            </w:r>
          </w:p>
        </w:tc>
        <w:tc>
          <w:tcPr>
            <w:tcW w:type="dxa" w:w="503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5035"/>
          </w:tcPr>
          <w:p>
            <w:pPr>
              <w:jc w:val="center"/>
            </w:pPr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5035"/>
          </w:tcPr>
          <w:p>
            <w:pPr>
              <w:jc w:val="left"/>
            </w:pPr>
            <w:r>
              <w:rPr>
                <w:sz w:val="16"/>
              </w:rPr>
              <w:t>product_1</w:t>
            </w:r>
          </w:p>
        </w:tc>
        <w:tc>
          <w:tcPr>
            <w:tcW w:type="dxa" w:w="503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5035"/>
          </w:tcPr>
          <w:p>
            <w:pPr>
              <w:jc w:val="center"/>
            </w:pPr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5035"/>
          </w:tcPr>
          <w:p>
            <w:pPr>
              <w:jc w:val="left"/>
            </w:pPr>
            <w:r>
              <w:rPr>
                <w:sz w:val="16"/>
              </w:rPr>
              <w:t>product_2</w:t>
            </w:r>
          </w:p>
        </w:tc>
        <w:tc>
          <w:tcPr>
            <w:tcW w:type="dxa" w:w="503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5035"/>
          </w:tcPr>
          <w:p>
            <w:pPr>
              <w:jc w:val="center"/>
            </w:pPr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5035"/>
          </w:tcPr>
          <w:p>
            <w:pPr>
              <w:jc w:val="left"/>
            </w:pPr>
            <w:r>
              <w:rPr>
                <w:sz w:val="16"/>
              </w:rPr>
              <w:t>product_3</w:t>
            </w:r>
          </w:p>
        </w:tc>
        <w:tc>
          <w:tcPr>
            <w:tcW w:type="dxa" w:w="503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5035"/>
          </w:tcPr>
          <w:p>
            <w:pPr>
              <w:jc w:val="center"/>
            </w:pPr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5035"/>
          </w:tcPr>
          <w:p>
            <w:pPr>
              <w:jc w:val="left"/>
            </w:pPr>
            <w:r>
              <w:rPr>
                <w:sz w:val="16"/>
              </w:rPr>
              <w:t>narrative</w:t>
            </w:r>
          </w:p>
        </w:tc>
        <w:tc>
          <w:tcPr>
            <w:tcW w:type="dxa" w:w="503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5035"/>
          </w:tcPr>
          <w:p>
            <w:pPr>
              <w:jc w:val="center"/>
            </w:pPr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5035"/>
          </w:tcPr>
          <w:p>
            <w:pPr>
              <w:jc w:val="left"/>
            </w:pPr>
            <w:r>
              <w:rPr>
                <w:sz w:val="16"/>
              </w:rPr>
              <w:t>weight</w:t>
            </w:r>
          </w:p>
        </w:tc>
        <w:tc>
          <w:tcPr>
            <w:tcW w:type="dxa" w:w="503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5035"/>
          </w:tcPr>
          <w:p>
            <w:pPr>
              <w:jc w:val="center"/>
            </w:pPr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5035"/>
          </w:tcPr>
          <w:p>
            <w:pPr>
              <w:jc w:val="left"/>
            </w:pPr>
            <w:r>
              <w:rPr>
                <w:sz w:val="16"/>
              </w:rPr>
              <w:t>stratum</w:t>
            </w:r>
          </w:p>
        </w:tc>
        <w:tc>
          <w:tcPr>
            <w:tcW w:type="dxa" w:w="503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5035"/>
          </w:tcPr>
          <w:p>
            <w:pPr>
              <w:jc w:val="center"/>
            </w:pPr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5035"/>
          </w:tcPr>
          <w:p>
            <w:pPr>
              <w:jc w:val="left"/>
            </w:pPr>
            <w:r>
              <w:rPr>
                <w:sz w:val="16"/>
              </w:rPr>
              <w:t>psu</w:t>
            </w:r>
          </w:p>
        </w:tc>
        <w:tc>
          <w:tcPr>
            <w:tcW w:type="dxa" w:w="503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5035"/>
          </w:tcPr>
          <w:p>
            <w:pPr>
              <w:jc w:val="center"/>
            </w:pPr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5035"/>
          </w:tcPr>
          <w:p>
            <w:pPr>
              <w:jc w:val="left"/>
            </w:pPr>
            <w:r>
              <w:rPr>
                <w:sz w:val="16"/>
              </w:rPr>
              <w:t>sport_code</w:t>
            </w:r>
          </w:p>
        </w:tc>
        <w:tc>
          <w:tcPr>
            <w:tcW w:type="dxa" w:w="503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5035"/>
          </w:tcPr>
          <w:p>
            <w:pPr>
              <w:jc w:val="center"/>
            </w:pPr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5035"/>
          </w:tcPr>
          <w:p>
            <w:pPr>
              <w:jc w:val="left"/>
            </w:pPr>
            <w:r>
              <w:rPr>
                <w:sz w:val="16"/>
              </w:rPr>
              <w:t>sport_group</w:t>
            </w:r>
          </w:p>
        </w:tc>
        <w:tc>
          <w:tcPr>
            <w:tcW w:type="dxa" w:w="503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5035"/>
          </w:tcPr>
          <w:p>
            <w:pPr>
              <w:jc w:val="center"/>
            </w:pPr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5035"/>
          </w:tcPr>
          <w:p>
            <w:pPr>
              <w:jc w:val="left"/>
            </w:pPr>
            <w:r>
              <w:rPr>
                <w:sz w:val="16"/>
              </w:rPr>
              <w:t>age_group</w:t>
            </w:r>
          </w:p>
        </w:tc>
        <w:tc>
          <w:tcPr>
            <w:tcW w:type="dxa" w:w="503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5035"/>
          </w:tcPr>
          <w:p>
            <w:pPr>
              <w:jc w:val="center"/>
            </w:pPr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5035"/>
          </w:tcPr>
          <w:p>
            <w:pPr>
              <w:jc w:val="left"/>
            </w:pPr>
            <w:r>
              <w:rPr>
                <w:sz w:val="16"/>
              </w:rPr>
              <w:t>sex_clean</w:t>
            </w:r>
          </w:p>
        </w:tc>
        <w:tc>
          <w:tcPr>
            <w:tcW w:type="dxa" w:w="503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5035"/>
          </w:tcPr>
          <w:p>
            <w:pPr>
              <w:jc w:val="center"/>
            </w:pPr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5035"/>
          </w:tcPr>
          <w:p>
            <w:pPr>
              <w:jc w:val="left"/>
            </w:pPr>
            <w:r>
              <w:rPr>
                <w:sz w:val="16"/>
              </w:rPr>
              <w:t>diagnosis_group</w:t>
            </w:r>
          </w:p>
        </w:tc>
        <w:tc>
          <w:tcPr>
            <w:tcW w:type="dxa" w:w="503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5035"/>
          </w:tcPr>
          <w:p>
            <w:pPr>
              <w:jc w:val="center"/>
            </w:pPr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5035"/>
          </w:tcPr>
          <w:p>
            <w:pPr>
              <w:jc w:val="left"/>
            </w:pPr>
            <w:r>
              <w:rPr>
                <w:sz w:val="16"/>
              </w:rPr>
              <w:t>disposition_group</w:t>
            </w:r>
          </w:p>
        </w:tc>
        <w:tc>
          <w:tcPr>
            <w:tcW w:type="dxa" w:w="503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5035"/>
          </w:tcPr>
          <w:p>
            <w:pPr>
              <w:jc w:val="center"/>
            </w:pPr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5035"/>
          </w:tcPr>
          <w:p>
            <w:pPr>
              <w:jc w:val="left"/>
            </w:pPr>
            <w:r>
              <w:rPr>
                <w:sz w:val="16"/>
              </w:rPr>
              <w:t>severe_disposition</w:t>
            </w:r>
          </w:p>
        </w:tc>
        <w:tc>
          <w:tcPr>
            <w:tcW w:type="dxa" w:w="5035"/>
          </w:tcPr>
          <w:p>
            <w:pPr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type="dxa" w:w="5035"/>
          </w:tcPr>
          <w:p>
            <w:pPr>
              <w:jc w:val="center"/>
            </w:pPr>
            <w:r>
              <w:rPr>
                <w:sz w:val="16"/>
              </w:rPr>
              <w:t>0.2%</w:t>
            </w:r>
          </w:p>
        </w:tc>
      </w:tr>
      <w:tr>
        <w:tc>
          <w:tcPr>
            <w:tcW w:type="dxa" w:w="5035"/>
          </w:tcPr>
          <w:p>
            <w:pPr>
              <w:jc w:val="left"/>
            </w:pPr>
            <w:r>
              <w:rPr>
                <w:sz w:val="16"/>
              </w:rPr>
              <w:t>calendar_period</w:t>
            </w:r>
          </w:p>
        </w:tc>
        <w:tc>
          <w:tcPr>
            <w:tcW w:type="dxa" w:w="503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5035"/>
          </w:tcPr>
          <w:p>
            <w:pPr>
              <w:jc w:val="center"/>
            </w:pPr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5035"/>
          </w:tcPr>
          <w:p>
            <w:pPr>
              <w:jc w:val="left"/>
            </w:pPr>
            <w:r>
              <w:rPr>
                <w:sz w:val="16"/>
              </w:rPr>
              <w:t>month</w:t>
            </w:r>
          </w:p>
        </w:tc>
        <w:tc>
          <w:tcPr>
            <w:tcW w:type="dxa" w:w="503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5035"/>
          </w:tcPr>
          <w:p>
            <w:pPr>
              <w:jc w:val="center"/>
            </w:pPr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5035"/>
          </w:tcPr>
          <w:p>
            <w:pPr>
              <w:jc w:val="left"/>
            </w:pPr>
            <w:r>
              <w:rPr>
                <w:sz w:val="16"/>
              </w:rPr>
              <w:t>season</w:t>
            </w:r>
          </w:p>
        </w:tc>
        <w:tc>
          <w:tcPr>
            <w:tcW w:type="dxa" w:w="503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5035"/>
          </w:tcPr>
          <w:p>
            <w:pPr>
              <w:jc w:val="center"/>
            </w:pPr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5035"/>
          </w:tcPr>
          <w:p>
            <w:pPr>
              <w:jc w:val="left"/>
            </w:pPr>
            <w:r>
              <w:rPr>
                <w:sz w:val="16"/>
              </w:rPr>
              <w:t>narrative_mechanism</w:t>
            </w:r>
          </w:p>
        </w:tc>
        <w:tc>
          <w:tcPr>
            <w:tcW w:type="dxa" w:w="503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5035"/>
          </w:tcPr>
          <w:p>
            <w:pPr>
              <w:jc w:val="center"/>
            </w:pPr>
            <w:r>
              <w:rPr>
                <w:sz w:val="16"/>
              </w:rPr>
              <w:t>0.0%</w:t>
            </w:r>
          </w:p>
        </w:tc>
      </w:tr>
    </w:tbl>
    <w:p>
      <w:pPr>
        <w:spacing w:before="120"/>
      </w:pPr>
      <w:r>
        <w:rPr>
          <w:i/>
          <w:sz w:val="16"/>
        </w:rPr>
        <w:t>Race and ethnicity were extracted during data cleaning but were not used in any analysis and are therefore not tabulated; the same applies to other extracted-but-unused fields. Body_Part_2 and Diagnosis_2 are missing for 96.0% of records because they were introduced with 2019 treatment dates and are used only in the sensitivity analysis. Severe disposition is missing for 32 records (0.2%) whose disposition could not be classified as severe or nonsevere.</w:t>
      </w:r>
    </w:p>
    <w:p>
      <w:r>
        <w:br w:type="page"/>
      </w:r>
    </w:p>
    <w:p>
      <w:pPr>
        <w:spacing w:after="120"/>
      </w:pPr>
      <w:r>
        <w:rPr>
          <w:b/>
          <w:sz w:val="21"/>
        </w:rPr>
        <w:t>Supplementary Table S7. Comprehensive instability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18"/>
        <w:gridCol w:w="2518"/>
        <w:gridCol w:w="2518"/>
        <w:gridCol w:w="2518"/>
        <w:gridCol w:w="2518"/>
        <w:gridCol w:w="2518"/>
      </w:tblGrid>
      <w:tr>
        <w:tc>
          <w:tcPr>
            <w:tcW w:type="dxa" w:w="2518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Source</w:t>
            </w:r>
          </w:p>
        </w:tc>
        <w:tc>
          <w:tcPr>
            <w:tcW w:type="dxa" w:w="2518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Estimate</w:t>
            </w:r>
          </w:p>
        </w:tc>
        <w:tc>
          <w:tcPr>
            <w:tcW w:type="dxa" w:w="2518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Unweighted n</w:t>
            </w:r>
          </w:p>
        </w:tc>
        <w:tc>
          <w:tcPr>
            <w:tcW w:type="dxa" w:w="2518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Weighted estimate</w:t>
            </w:r>
          </w:p>
        </w:tc>
        <w:tc>
          <w:tcPr>
            <w:tcW w:type="dxa" w:w="2518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CV</w:t>
            </w:r>
          </w:p>
        </w:tc>
        <w:tc>
          <w:tcPr>
            <w:tcW w:type="dxa" w:w="2518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Criteria breached</w:t>
            </w:r>
          </w:p>
        </w:tc>
      </w:tr>
      <w:tr>
        <w:tc>
          <w:tcPr>
            <w:tcW w:type="dxa" w:w="2518"/>
          </w:tcPr>
          <w:p>
            <w:pPr>
              <w:jc w:val="left"/>
            </w:pPr>
            <w:r>
              <w:rPr>
                <w:sz w:val="16"/>
              </w:rPr>
              <w:t>Table 1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Sex: unknown/other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100.0%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color w:val="C00000"/>
                <w:sz w:val="16"/>
              </w:rPr>
              <w:t>estimate&lt;1200; n&lt;20; cv&gt;33%</w:t>
            </w:r>
          </w:p>
        </w:tc>
      </w:tr>
      <w:tr>
        <w:tc>
          <w:tcPr>
            <w:tcW w:type="dxa" w:w="2518"/>
          </w:tcPr>
          <w:p>
            <w:pPr>
              <w:jc w:val="left"/>
            </w:pPr>
            <w:r>
              <w:rPr>
                <w:sz w:val="16"/>
              </w:rPr>
              <w:t>Table 1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Disposition: observation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143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70.3%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color w:val="C00000"/>
                <w:sz w:val="16"/>
              </w:rPr>
              <w:t>estimate&lt;1200; n&lt;20; cv&gt;33%</w:t>
            </w:r>
          </w:p>
        </w:tc>
      </w:tr>
      <w:tr>
        <w:tc>
          <w:tcPr>
            <w:tcW w:type="dxa" w:w="2518"/>
          </w:tcPr>
          <w:p>
            <w:pPr>
              <w:jc w:val="left"/>
            </w:pPr>
            <w:r>
              <w:rPr>
                <w:sz w:val="16"/>
              </w:rPr>
              <w:t>Table 1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Disposition: other/unknown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536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34.0%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color w:val="C00000"/>
                <w:sz w:val="16"/>
              </w:rPr>
              <w:t>estimate&lt;1200; cv&gt;33%</w:t>
            </w:r>
          </w:p>
        </w:tc>
      </w:tr>
      <w:tr>
        <w:tc>
          <w:tcPr>
            <w:tcW w:type="dxa" w:w="2518"/>
          </w:tcPr>
          <w:p>
            <w:pPr>
              <w:jc w:val="left"/>
            </w:pPr>
            <w:r>
              <w:rPr>
                <w:sz w:val="16"/>
              </w:rPr>
              <w:t>Table 1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Disposition: transferred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746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41.1%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color w:val="C00000"/>
                <w:sz w:val="16"/>
              </w:rPr>
              <w:t>estimate&lt;1200; n&lt;20; cv&gt;33%</w:t>
            </w:r>
          </w:p>
        </w:tc>
      </w:tr>
      <w:tr>
        <w:tc>
          <w:tcPr>
            <w:tcW w:type="dxa" w:w="2518"/>
          </w:tcPr>
          <w:p>
            <w:pPr>
              <w:jc w:val="left"/>
            </w:pPr>
            <w:r>
              <w:rPr>
                <w:sz w:val="16"/>
              </w:rPr>
              <w:t>Table 2 (severe disposition)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football: severe disposition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43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1,009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28.0%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color w:val="C00000"/>
                <w:sz w:val="16"/>
              </w:rPr>
              <w:t>estimate&lt;1200</w:t>
            </w:r>
          </w:p>
        </w:tc>
      </w:tr>
      <w:tr>
        <w:tc>
          <w:tcPr>
            <w:tcW w:type="dxa" w:w="2518"/>
          </w:tcPr>
          <w:p>
            <w:pPr>
              <w:jc w:val="left"/>
            </w:pPr>
            <w:r>
              <w:rPr>
                <w:sz w:val="16"/>
              </w:rPr>
              <w:t>Table 2 (severe disposition)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basketball: severe disposition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335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37.1%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color w:val="C00000"/>
                <w:sz w:val="16"/>
              </w:rPr>
              <w:t>estimate&lt;1200; n&lt;20; cv&gt;33%</w:t>
            </w:r>
          </w:p>
        </w:tc>
      </w:tr>
      <w:tr>
        <w:tc>
          <w:tcPr>
            <w:tcW w:type="dxa" w:w="2518"/>
          </w:tcPr>
          <w:p>
            <w:pPr>
              <w:jc w:val="left"/>
            </w:pPr>
            <w:r>
              <w:rPr>
                <w:sz w:val="16"/>
              </w:rPr>
              <w:t>Table 2 (severe disposition)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baseball/softball: severe disposition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118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59.1%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color w:val="C00000"/>
                <w:sz w:val="16"/>
              </w:rPr>
              <w:t>estimate&lt;1200; n&lt;20; cv&gt;33%</w:t>
            </w:r>
          </w:p>
        </w:tc>
      </w:tr>
      <w:tr>
        <w:tc>
          <w:tcPr>
            <w:tcW w:type="dxa" w:w="2518"/>
          </w:tcPr>
          <w:p>
            <w:pPr>
              <w:jc w:val="left"/>
            </w:pPr>
            <w:r>
              <w:rPr>
                <w:sz w:val="16"/>
              </w:rPr>
              <w:t>Table 2 (severe disposition)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soccer: severe disposition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264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44.5%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color w:val="C00000"/>
                <w:sz w:val="16"/>
              </w:rPr>
              <w:t>estimate&lt;1200; n&lt;20; cv&gt;33%</w:t>
            </w:r>
          </w:p>
        </w:tc>
      </w:tr>
      <w:tr>
        <w:tc>
          <w:tcPr>
            <w:tcW w:type="dxa" w:w="2518"/>
          </w:tcPr>
          <w:p>
            <w:pPr>
              <w:jc w:val="left"/>
            </w:pPr>
            <w:r>
              <w:rPr>
                <w:sz w:val="16"/>
              </w:rPr>
              <w:t>Table 2 (severe disposition)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other selected ball and stick sports: severe disposition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233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45.5%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color w:val="C00000"/>
                <w:sz w:val="16"/>
              </w:rPr>
              <w:t>estimate&lt;1200; n&lt;20; cv&gt;33%</w:t>
            </w:r>
          </w:p>
        </w:tc>
      </w:tr>
      <w:tr>
        <w:tc>
          <w:tcPr>
            <w:tcW w:type="dxa" w:w="2518"/>
          </w:tcPr>
          <w:p>
            <w:pPr>
              <w:jc w:val="left"/>
            </w:pPr>
            <w:r>
              <w:rPr>
                <w:sz w:val="16"/>
              </w:rPr>
              <w:t>Table 2 (severe disposition)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volleyball: severe disposition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144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58.4%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color w:val="C00000"/>
                <w:sz w:val="16"/>
              </w:rPr>
              <w:t>estimate&lt;1200; n&lt;20; cv&gt;33%</w:t>
            </w:r>
          </w:p>
        </w:tc>
      </w:tr>
      <w:tr>
        <w:tc>
          <w:tcPr>
            <w:tcW w:type="dxa" w:w="2518"/>
          </w:tcPr>
          <w:p>
            <w:pPr>
              <w:jc w:val="left"/>
            </w:pPr>
            <w:r>
              <w:rPr>
                <w:sz w:val="16"/>
              </w:rPr>
              <w:t>Annual by sport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volleyball 2015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43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1,109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23.8%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color w:val="C00000"/>
                <w:sz w:val="16"/>
              </w:rPr>
              <w:t>estimate&lt;1200</w:t>
            </w:r>
          </w:p>
        </w:tc>
      </w:tr>
      <w:tr>
        <w:tc>
          <w:tcPr>
            <w:tcW w:type="dxa" w:w="2518"/>
          </w:tcPr>
          <w:p>
            <w:pPr>
              <w:jc w:val="left"/>
            </w:pPr>
            <w:r>
              <w:rPr>
                <w:sz w:val="16"/>
              </w:rPr>
              <w:t>Annual by sport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other selected ball and stick sports 2020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47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1,071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27.3%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color w:val="C00000"/>
                <w:sz w:val="16"/>
              </w:rPr>
              <w:t>estimate&lt;1200</w:t>
            </w:r>
          </w:p>
        </w:tc>
      </w:tr>
      <w:tr>
        <w:tc>
          <w:tcPr>
            <w:tcW w:type="dxa" w:w="2518"/>
          </w:tcPr>
          <w:p>
            <w:pPr>
              <w:jc w:val="left"/>
            </w:pPr>
            <w:r>
              <w:rPr>
                <w:sz w:val="16"/>
              </w:rPr>
              <w:t>Annual by sport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soccer 2020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1,141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37.5%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color w:val="C00000"/>
                <w:sz w:val="16"/>
              </w:rPr>
              <w:t>estimate&lt;1200; cv&gt;33%</w:t>
            </w:r>
          </w:p>
        </w:tc>
      </w:tr>
      <w:tr>
        <w:tc>
          <w:tcPr>
            <w:tcW w:type="dxa" w:w="2518"/>
          </w:tcPr>
          <w:p>
            <w:pPr>
              <w:jc w:val="left"/>
            </w:pPr>
            <w:r>
              <w:rPr>
                <w:sz w:val="16"/>
              </w:rPr>
              <w:t>Annual by sport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volleyball 2020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26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616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sz w:val="16"/>
              </w:rPr>
              <w:t>29.5%</w:t>
            </w:r>
          </w:p>
        </w:tc>
        <w:tc>
          <w:tcPr>
            <w:tcW w:type="dxa" w:w="2518"/>
          </w:tcPr>
          <w:p>
            <w:pPr>
              <w:jc w:val="center"/>
            </w:pPr>
            <w:r>
              <w:rPr>
                <w:color w:val="C00000"/>
                <w:sz w:val="16"/>
              </w:rPr>
              <w:t>estimate&lt;1200</w:t>
            </w:r>
          </w:p>
        </w:tc>
      </w:tr>
    </w:tbl>
    <w:p>
      <w:pPr>
        <w:spacing w:before="120"/>
      </w:pPr>
      <w:r>
        <w:rPr>
          <w:i/>
          <w:sz w:val="16"/>
        </w:rPr>
        <w:t>This register is exhaustive across the manuscript and supplementary material. Inclusion rule: any estimate with weighted estimate &lt;1,200, unweighted n &lt;20, or coefficient of variation &gt;33%, following CPSC guidance. The six Table 2 severe-disposition sub-estimates are the reason sport-specific severe disposition is not reported in Table 2. CV, coefficient of variation.</w:t>
      </w:r>
    </w:p>
    <w:p>
      <w:r>
        <w:br w:type="page"/>
      </w:r>
    </w:p>
    <w:p>
      <w:pPr>
        <w:spacing w:after="120"/>
      </w:pPr>
      <w:r>
        <w:rPr>
          <w:b/>
          <w:sz w:val="21"/>
        </w:rPr>
        <w:t>Supplementary Table S8. Narrative-based diagnostic concordance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1"/>
        <w:gridCol w:w="3021"/>
        <w:gridCol w:w="3021"/>
        <w:gridCol w:w="3021"/>
        <w:gridCol w:w="3021"/>
      </w:tblGrid>
      <w:tr>
        <w:tc>
          <w:tcPr>
            <w:tcW w:type="dxa" w:w="3021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Coded primary diagnosis</w:t>
            </w:r>
          </w:p>
        </w:tc>
        <w:tc>
          <w:tcPr>
            <w:tcW w:type="dxa" w:w="3021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Narrative: dislocation term only</w:t>
            </w:r>
          </w:p>
        </w:tc>
        <w:tc>
          <w:tcPr>
            <w:tcW w:type="dxa" w:w="3021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Narrative: fracture term only</w:t>
            </w:r>
          </w:p>
        </w:tc>
        <w:tc>
          <w:tcPr>
            <w:tcW w:type="dxa" w:w="3021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Narrative: both terms</w:t>
            </w:r>
          </w:p>
        </w:tc>
        <w:tc>
          <w:tcPr>
            <w:tcW w:type="dxa" w:w="3021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6"/>
              </w:rPr>
              <w:t>Narrative: neither term</w:t>
            </w:r>
          </w:p>
        </w:tc>
      </w:tr>
      <w:tr>
        <w:tc>
          <w:tcPr>
            <w:tcW w:type="dxa" w:w="3021"/>
          </w:tcPr>
          <w:p>
            <w:pPr>
              <w:jc w:val="left"/>
            </w:pPr>
            <w:r>
              <w:rPr>
                <w:sz w:val="16"/>
              </w:rPr>
              <w:t>Coded dislocation (n=2,213)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sz w:val="16"/>
              </w:rPr>
              <w:t>1,995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sz w:val="16"/>
              </w:rPr>
              <w:t>77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sz w:val="16"/>
              </w:rPr>
              <w:t>139</w:t>
            </w:r>
          </w:p>
        </w:tc>
      </w:tr>
      <w:tr>
        <w:tc>
          <w:tcPr>
            <w:tcW w:type="dxa" w:w="3021"/>
          </w:tcPr>
          <w:p>
            <w:pPr>
              <w:jc w:val="left"/>
            </w:pPr>
            <w:r>
              <w:rPr>
                <w:sz w:val="16"/>
              </w:rPr>
              <w:t>Coded fracture (n=13,853)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sz w:val="16"/>
              </w:rPr>
              <w:t>13,370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sz w:val="16"/>
              </w:rPr>
              <w:t>196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sz w:val="16"/>
              </w:rPr>
              <w:t>285</w:t>
            </w:r>
          </w:p>
        </w:tc>
      </w:tr>
    </w:tbl>
    <w:p>
      <w:pPr>
        <w:spacing w:before="120"/>
      </w:pPr>
      <w:r>
        <w:rPr>
          <w:i/>
          <w:sz w:val="16"/>
        </w:rPr>
        <w:t>All 16,066 cohort records. Narratives were classified by keyword for dislocation terms (dislocation, subluxation, reduction) and fracture terms (fracture, buckle, Salter, avulsion). Among the 15,369 records (95.7%) whose narrative contained exactly one diagnostic term family, the narrative agreed with the coded diagnosis in 15,365 (99.97%; Cohen's kappa 0.999). IMPORTANT: narrative and diagnosis code are abstracted from the same emergency department record, so this demonstrates internal consistency, not validation against radiographic adjudication. It excludes coding and data-entry error as a substantial source of outcome misclassification but cannot exclude misclassification at the point of clinical diagnosis.</w:t>
      </w:r>
    </w:p>
    <w:sectPr w:rsidR="00FC693F" w:rsidRPr="0006063C" w:rsidSect="00034616">
      <w:pgSz w:w="16834" w:h="11909" w:orient="landscape"/>
      <w:pgMar w:top="1008" w:right="864" w:bottom="100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