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Supplementary Methods</w:t>
      </w:r>
    </w:p>
    <w:p>
      <w:pPr>
        <w:pStyle w:val="Heading1"/>
      </w:pPr>
      <w:r>
        <w:rPr>
          <w:color w:val="1F3864"/>
        </w:rPr>
        <w:t>Data source and provenance</w:t>
      </w:r>
    </w:p>
    <w:p>
      <w:pPr>
        <w:spacing w:after="160"/>
      </w:pPr>
      <w:r>
        <w:t>The main analytic cohort used only NEISS variables available across 2015-2025: age, Treatment_Date, Body_Part, Diagnosis, Product_1, Product_2, Disposition, Sex, Narrative, Weight, Stratum, and PSU. Product_3, Body_Part_2, Diagnosis_2, Ethnicity, Alcohol_Involved, and Drug_Involved were added beginning with 2019 treatment dates and were excluded from the main cohort.</w:t>
      </w:r>
    </w:p>
    <w:p>
      <w:pPr>
        <w:spacing w:after="160"/>
      </w:pPr>
      <w:r>
        <w:t>Annual archived tab-delimited files were downloaded directly from the CPSC archived-data directory, which is the finalized calendar-year release rather than the interactive query system; CPSC does not apply a provisional designation to files in this series. The 2025 file was obtained from https://www.cpsc.gov/cgibin/NEISSQuery/Data/Archived%20Data/2025/neiss2025.tsv, carried a server last-modified timestamp of 6 May 2026, and was downloaded on 16 May 2026 (UTC). Source URLs, file timestamps, and download times for every annual file are recorded in the download log included in the code deposit.</w:t>
      </w:r>
    </w:p>
    <w:p>
      <w:pPr>
        <w:spacing w:after="160"/>
      </w:pPr>
      <w:r>
        <w:t>Official CPSC files used for validation: the NEISS Data Dictionary Excel file, and the NEISS format file neiss_fmt.txt, including body-part, diagnosis, disposition, sex, and product/activity labels.</w:t>
      </w:r>
    </w:p>
    <w:p>
      <w:pPr>
        <w:pStyle w:val="Heading1"/>
      </w:pPr>
      <w:r>
        <w:rPr>
          <w:color w:val="1F3864"/>
        </w:rPr>
        <w:t>Survey design specification</w:t>
      </w:r>
    </w:p>
    <w:p>
      <w:pPr>
        <w:spacing w:after="160"/>
      </w:pPr>
      <w:r>
        <w:t>Survey-design analyses used survey::svydesign(ids = ~psu, strata = ~stratum, weights = ~weight, nest = TRUE). Variances for weighted totals were estimated by Taylor linearization using the stratified ultimate-cluster estimator. The analytic cohort spanned 5 NEISS strata (C, L, M, S, V) and 103 primary sampling units, with 9, 13, 28, 48, and 24 primary sampling units contributing to strata C, L, M, S, and V respectively. Because no stratum contributed a single primary sampling unit, no lonely-primary-sampling-unit adjustment (for example options(survey.lonely.psu=)) was required or applied, and results are insensitive to that setting.</w:t>
      </w:r>
    </w:p>
    <w:p>
      <w:pPr>
        <w:spacing w:after="160"/>
      </w:pPr>
      <w:r>
        <w:t>Confidence intervals for weighted totals were computed as the estimate plus or minus 1.96 standard errors. Confidence intervals for weighted proportions and for ratios of weighted totals were computed on the log scale from the linearized ratio variance, which constrains bounds to admissible values. All weighted estimates are rounded from unrounded survey-weighted values; components may therefore not sum exactly to totals. The exact unrounded cohort total is 441,440.82. Combined estimates reported in the text are computed before rounding, which is why the football-plus-basketball estimate is 321,497 rather than the 321,498 obtained by summing the two separately rounded values.</w:t>
      </w:r>
    </w:p>
    <w:p>
      <w:pPr>
        <w:pStyle w:val="Heading1"/>
      </w:pPr>
      <w:r>
        <w:rPr>
          <w:color w:val="1F3864"/>
        </w:rPr>
        <w:t>Modelling specification</w:t>
      </w:r>
    </w:p>
    <w:p>
      <w:pPr>
        <w:spacing w:after="160"/>
      </w:pPr>
      <w:r>
        <w:t>The primary adjusted model was fitted with survey::svyglm using a binomial family and logit link, including sport group, age group, sex, and treatment year. The estimand is conditional: the model estimates the odds that a presenting injury was coded as a dislocation rather than a fracture, among adolescents who presented to an emergency department with one of these two diagnoses. It is a comparison of diagnostic case mix among presenting patients and is not an estimate of injury risk.</w:t>
      </w:r>
    </w:p>
    <w:p>
      <w:pPr>
        <w:spacing w:after="160"/>
      </w:pPr>
      <w:r>
        <w:t>Treatment year was entered as a single continuous, mean-centered term to provide a parsimonious adjustment for secular drift in case mix rather than as an estimand of interest. Entering year as ten indicator variables would have consumed nine degrees of freedom in a model whose outcome comprises 2,213 unweighted events distributed across 103 primary sampling units, reducing precision for the sport, age, and sex terms the model exists to estimate. The linear year term was null (OR 0.99 per year; 95% CI 0.96-1.01; p=0.357), so the functional form imposed on year has little scope to distort the remaining estimates.</w:t>
      </w:r>
    </w:p>
    <w:p>
      <w:pPr>
        <w:spacing w:after="160"/>
      </w:pPr>
      <w:r>
        <w:t>The single record with sex coded unknown/other (one 2021 basketball-associated finger fracture, sample weight 5.54) was excluded from the model because one observation in a three-level factor induces sparse-cell separation and unstable standard errors. It is retained in the descriptive tables so that the cohort sums to the reported total. The model's analytic n is therefore 16,065 against a descriptive cohort of 16,066; its exclusion has no effect on any estimate at the reported precision.</w:t>
      </w:r>
    </w:p>
    <w:p>
      <w:pPr>
        <w:spacing w:after="160"/>
      </w:pPr>
      <w:r>
        <w:t>The five sport comparisons against football were treated as a family for multiplicity adjustment and are reported with Holm-adjusted p values alongside unadjusted values; Benjamini-Hochberg values were also computed and agree in substance. Age, sex, and treatment year were prespecified adjustment variables and were not subject to multiplicity correction. Both significant sport comparisons survived Holm adjustment.</w:t>
      </w:r>
    </w:p>
    <w:p>
      <w:pPr>
        <w:spacing w:after="160"/>
      </w:pPr>
      <w:r>
        <w:t>Severe-disposition modelling was prespecified subject to a sparse-event rule requiring BOTH at least 10 severe events per model parameter AND at least 20 records in every sport category. The second condition was met (minimum sport-category n=617); the first was not (89 severe events against 9 model parameters, requiring 90), and the model was therefore not fitted. Consistent with that decision, sport-specific severe-disposition descriptive estimates were also found to be unreportable under CPSC criteria and are not presented.</w:t>
      </w:r>
    </w:p>
    <w:p>
      <w:pPr>
        <w:pStyle w:val="Heading1"/>
      </w:pPr>
      <w:r>
        <w:rPr>
          <w:color w:val="1F3864"/>
        </w:rPr>
        <w:t>Derived variables</w:t>
      </w:r>
    </w:p>
    <w:p>
      <w:pPr>
        <w:spacing w:after="160"/>
      </w:pPr>
      <w:r>
        <w:t>Season was derived from the calendar month of the Treatment_Date field using the standard meteorological mapping: winter = December, January, February; spring = March, April, May; summer = June, July, August; fall = September, October, November. December is grouped with the following January and February rather than split at the calendar-year boundary.</w:t>
      </w:r>
    </w:p>
    <w:p>
      <w:pPr>
        <w:spacing w:after="160"/>
      </w:pPr>
      <w:r>
        <w:t>Sex reflects NEISS administrative coding rather than a measured biological attribute and is described throughout as records coded as female or male.</w:t>
      </w:r>
    </w:p>
    <w:p>
      <w:pPr>
        <w:spacing w:after="160"/>
      </w:pPr>
      <w:r>
        <w:t>Severe disposition was defined as admission, transfer, or observation. Records whose disposition could not be classified as severe or nonsevere (n=32; 0.2%) were excluded from severe-disposition denominators.</w:t>
      </w:r>
    </w:p>
    <w:p>
      <w:pPr>
        <w:pStyle w:val="Heading1"/>
      </w:pPr>
      <w:r>
        <w:rPr>
          <w:color w:val="1F3864"/>
        </w:rPr>
        <w:t>Selected ball-sport code selection</w:t>
      </w:r>
    </w:p>
    <w:p>
      <w:pPr>
        <w:spacing w:after="160"/>
      </w:pPr>
      <w:r>
        <w:t>Sport/product groups were defined before cohort construction using official NEISS product/activity labels. The core sport groups were basketball, football, baseball/softball, soccer, and volleyball. These activities were selected because they are common adolescent ball-sport activities and have plausible direct finger-loading mechanisms, including catching, ball impact, jamming/hyperextension, falls, and player contact.</w:t>
      </w:r>
    </w:p>
    <w:p>
      <w:pPr>
        <w:spacing w:after="160"/>
      </w:pPr>
      <w:r>
        <w:t>Additional ball, puck, or stick-and-ball sports were eligible only if the official NEISS label identified a sport activity rather than a nonspecific product or equipment category. Eligible smaller activities were combined as "other selected ball and stick sports" when the combined unweighted sample size met the prespecified minimum. Activities were not eligible if the official label indicated a non-ball activity, water sport, wheeled sport, playground activity, fitness/exercise activity, combat sport, hunting/firearm activity, or generic equipment-only product category without a sport-activity label. The full composition of the residual category by weighted contribution is given in Supplementary Table S1.</w:t>
      </w:r>
    </w:p>
    <w:p>
      <w:pPr>
        <w:pStyle w:val="Heading1"/>
      </w:pPr>
      <w:r>
        <w:rPr>
          <w:color w:val="1F3864"/>
        </w:rPr>
        <w:t>Narrative screening and mechanism classification</w:t>
      </w:r>
    </w:p>
    <w:p>
      <w:pPr>
        <w:spacing w:after="160"/>
      </w:pPr>
      <w:r>
        <w:t>Narratives were used for two distinct purposes. First, as a cohort-definition step applied across all study years, narratives were screened by an automated, deterministic keyword rule for terms indicating spectator or bystander circumstances; candidate records were then read individually and three were excluded. The screening rule is reproduced in full in the deposited code. Candidate exclusions were reviewed by a single author; a second reviewer and a formal agreement statistic were not employed, which is acknowledged as a limitation. The step changed the cohort estimate from 441,512 to 441,441 (71 weighted visits; 0.02%).</w:t>
      </w:r>
    </w:p>
    <w:p>
      <w:pPr>
        <w:spacing w:after="160"/>
      </w:pPr>
      <w:r>
        <w:t>Second, and separately, a conservative keyword-based classifier assigned records to mechanism categories. Mechanism classification was used descriptively only, and is emphasized for 2019-2025 because maximum narrative length changed with 2019 treatment dates. Mechanism was unclassifiable in 47.6% of 2019-2025 records, so classified proportions are lower bounds rather than prevalence estimates.</w:t>
      </w:r>
    </w:p>
    <w:p>
      <w:pPr>
        <w:pStyle w:val="Heading1"/>
      </w:pPr>
      <w:r>
        <w:rPr>
          <w:color w:val="1F3864"/>
        </w:rPr>
        <w:t>Diagnostic concordance assessment</w:t>
      </w:r>
    </w:p>
    <w:p>
      <w:pPr>
        <w:spacing w:after="160"/>
      </w:pPr>
      <w:r>
        <w:t>To assess potential outcome misclassification, each narrative was classified by keyword for dislocation terms (dislocation, subluxation, reduction) and fracture terms (fracture, buckle, Salter, avulsion) and cross-tabulated against the coded primary diagnosis across all 16,066 records. Results are given in Supplementary Table S8. Because narrative and diagnosis code are abstracted from the same emergency department record, this assessment demonstrates internal consistency rather than validation against radiographic adjudication.</w:t>
      </w:r>
    </w:p>
    <w:p>
      <w:r>
        <w:br w:type="page"/>
      </w:r>
    </w:p>
    <w:p>
      <w:pPr>
        <w:pStyle w:val="Title"/>
      </w:pPr>
      <w:r>
        <w:rPr>
          <w:color w:val="1F3864"/>
        </w:rPr>
        <w:t>Supplementary File: STROBE Checklist (cross-sectional studies)</w:t>
      </w:r>
    </w:p>
    <w:p>
      <w:pPr>
        <w:spacing w:after="160"/>
      </w:pPr>
      <w:r>
        <w:t>Page numbers refer to the revised manuscript. Items not applicable to a cross-sectional design are marked NA with the reason.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
              <w:rPr>
                <w:b/>
                <w:sz w:val="18"/>
              </w:rPr>
              <w:t>Item</w:t>
            </w:r>
          </w:p>
        </w:tc>
        <w:tc>
          <w:tcPr>
            <w:tcW w:type="dxa" w:w="2880"/>
            <w:shd w:val="clear" w:fill="D9E2F3"/>
          </w:tcPr>
          <w:p>
            <w:r/>
            <w:r>
              <w:rPr>
                <w:b/>
                <w:sz w:val="18"/>
              </w:rPr>
              <w:t>STROBE recommendation</w:t>
            </w:r>
          </w:p>
        </w:tc>
        <w:tc>
          <w:tcPr>
            <w:tcW w:type="dxa" w:w="2880"/>
            <w:shd w:val="clear" w:fill="D9E2F3"/>
          </w:tcPr>
          <w:p>
            <w:r/>
            <w:r>
              <w:rPr>
                <w:b/>
                <w:sz w:val="18"/>
              </w:rPr>
              <w:t>Location in revised manuscript</w:t>
            </w:r>
          </w:p>
        </w:tc>
      </w:tr>
      <w:tr>
        <w:tc>
          <w:tcPr>
            <w:tcW w:type="dxa" w:w="2880"/>
          </w:tcPr>
          <w:p>
            <w:r>
              <w:rPr>
                <w:sz w:val="18"/>
              </w:rPr>
              <w:t>1a</w:t>
            </w:r>
          </w:p>
        </w:tc>
        <w:tc>
          <w:tcPr>
            <w:tcW w:type="dxa" w:w="2880"/>
          </w:tcPr>
          <w:p>
            <w:r>
              <w:rPr>
                <w:sz w:val="18"/>
              </w:rPr>
              <w:t>Title/abstract: study design in title or abstract</w:t>
            </w:r>
          </w:p>
        </w:tc>
        <w:tc>
          <w:tcPr>
            <w:tcW w:type="dxa" w:w="2880"/>
          </w:tcPr>
          <w:p>
            <w:r>
              <w:rPr>
                <w:sz w:val="18"/>
              </w:rPr>
              <w:t>Title page; Abstract — cross-sectional NEISS analysis identified</w:t>
            </w:r>
          </w:p>
        </w:tc>
      </w:tr>
      <w:tr>
        <w:tc>
          <w:tcPr>
            <w:tcW w:type="dxa" w:w="2880"/>
          </w:tcPr>
          <w:p>
            <w:r>
              <w:rPr>
                <w:sz w:val="18"/>
              </w:rPr>
              <w:t>1b</w:t>
            </w:r>
          </w:p>
        </w:tc>
        <w:tc>
          <w:tcPr>
            <w:tcW w:type="dxa" w:w="2880"/>
          </w:tcPr>
          <w:p>
            <w:r>
              <w:rPr>
                <w:sz w:val="18"/>
              </w:rPr>
              <w:t>Title/abstract: informative and balanced summary</w:t>
            </w:r>
          </w:p>
        </w:tc>
        <w:tc>
          <w:tcPr>
            <w:tcW w:type="dxa" w:w="2880"/>
          </w:tcPr>
          <w:p>
            <w:r>
              <w:rPr>
                <w:sz w:val="18"/>
              </w:rPr>
              <w:t>Abstract — now reports uncertainty for all weighted estimates and the principal adjusted result</w:t>
            </w:r>
          </w:p>
        </w:tc>
      </w:tr>
      <w:tr>
        <w:tc>
          <w:tcPr>
            <w:tcW w:type="dxa" w:w="2880"/>
          </w:tcPr>
          <w:p>
            <w:r>
              <w:rPr>
                <w:sz w:val="18"/>
              </w:rPr>
              <w:t>2</w:t>
            </w:r>
          </w:p>
        </w:tc>
        <w:tc>
          <w:tcPr>
            <w:tcW w:type="dxa" w:w="2880"/>
          </w:tcPr>
          <w:p>
            <w:r>
              <w:rPr>
                <w:sz w:val="18"/>
              </w:rPr>
              <w:t>Introduction: background/rationale</w:t>
            </w:r>
          </w:p>
        </w:tc>
        <w:tc>
          <w:tcPr>
            <w:tcW w:type="dxa" w:w="2880"/>
          </w:tcPr>
          <w:p>
            <w:r>
              <w:rPr>
                <w:sz w:val="18"/>
              </w:rPr>
              <w:t>Introduction, paragraphs 1-3</w:t>
            </w:r>
          </w:p>
        </w:tc>
      </w:tr>
      <w:tr>
        <w:tc>
          <w:tcPr>
            <w:tcW w:type="dxa" w:w="2880"/>
          </w:tcPr>
          <w:p>
            <w:r>
              <w:rPr>
                <w:sz w:val="18"/>
              </w:rPr>
              <w:t>3</w:t>
            </w:r>
          </w:p>
        </w:tc>
        <w:tc>
          <w:tcPr>
            <w:tcW w:type="dxa" w:w="2880"/>
          </w:tcPr>
          <w:p>
            <w:r>
              <w:rPr>
                <w:sz w:val="18"/>
              </w:rPr>
              <w:t>Introduction: objectives</w:t>
            </w:r>
          </w:p>
        </w:tc>
        <w:tc>
          <w:tcPr>
            <w:tcW w:type="dxa" w:w="2880"/>
          </w:tcPr>
          <w:p>
            <w:r>
              <w:rPr>
                <w:sz w:val="18"/>
              </w:rPr>
              <w:t>Introduction, final paragraph</w:t>
            </w:r>
          </w:p>
        </w:tc>
      </w:tr>
      <w:tr>
        <w:tc>
          <w:tcPr>
            <w:tcW w:type="dxa" w:w="2880"/>
          </w:tcPr>
          <w:p>
            <w:r>
              <w:rPr>
                <w:sz w:val="18"/>
              </w:rPr>
              <w:t>4</w:t>
            </w:r>
          </w:p>
        </w:tc>
        <w:tc>
          <w:tcPr>
            <w:tcW w:type="dxa" w:w="2880"/>
          </w:tcPr>
          <w:p>
            <w:r>
              <w:rPr>
                <w:sz w:val="18"/>
              </w:rPr>
              <w:t>Methods: study design</w:t>
            </w:r>
          </w:p>
        </w:tc>
        <w:tc>
          <w:tcPr>
            <w:tcW w:type="dxa" w:w="2880"/>
          </w:tcPr>
          <w:p>
            <w:r>
              <w:rPr>
                <w:sz w:val="18"/>
              </w:rPr>
              <w:t>Methods, Data Source and Study Design</w:t>
            </w:r>
          </w:p>
        </w:tc>
      </w:tr>
      <w:tr>
        <w:tc>
          <w:tcPr>
            <w:tcW w:type="dxa" w:w="2880"/>
          </w:tcPr>
          <w:p>
            <w:r>
              <w:rPr>
                <w:sz w:val="18"/>
              </w:rPr>
              <w:t>5</w:t>
            </w:r>
          </w:p>
        </w:tc>
        <w:tc>
          <w:tcPr>
            <w:tcW w:type="dxa" w:w="2880"/>
          </w:tcPr>
          <w:p>
            <w:r>
              <w:rPr>
                <w:sz w:val="18"/>
              </w:rPr>
              <w:t>Methods: setting, locations, dates</w:t>
            </w:r>
          </w:p>
        </w:tc>
        <w:tc>
          <w:tcPr>
            <w:tcW w:type="dxa" w:w="2880"/>
          </w:tcPr>
          <w:p>
            <w:r>
              <w:rPr>
                <w:sz w:val="18"/>
              </w:rPr>
              <w:t>Methods, Data Source and Study Design — NEISS hospitals; treatment years 2015-2025; file provenance and download dates stated</w:t>
            </w:r>
          </w:p>
        </w:tc>
      </w:tr>
      <w:tr>
        <w:tc>
          <w:tcPr>
            <w:tcW w:type="dxa" w:w="2880"/>
          </w:tcPr>
          <w:p>
            <w:r>
              <w:rPr>
                <w:sz w:val="18"/>
              </w:rPr>
              <w:t>6a</w:t>
            </w:r>
          </w:p>
        </w:tc>
        <w:tc>
          <w:tcPr>
            <w:tcW w:type="dxa" w:w="2880"/>
          </w:tcPr>
          <w:p>
            <w:r>
              <w:rPr>
                <w:sz w:val="18"/>
              </w:rPr>
              <w:t>Methods: eligibility criteria, sources, selection</w:t>
            </w:r>
          </w:p>
        </w:tc>
        <w:tc>
          <w:tcPr>
            <w:tcW w:type="dxa" w:w="2880"/>
          </w:tcPr>
          <w:p>
            <w:r>
              <w:rPr>
                <w:sz w:val="18"/>
              </w:rPr>
              <w:t>Methods, Cohort Definition; Figure 1</w:t>
            </w:r>
          </w:p>
        </w:tc>
      </w:tr>
      <w:tr>
        <w:tc>
          <w:tcPr>
            <w:tcW w:type="dxa" w:w="2880"/>
          </w:tcPr>
          <w:p>
            <w:r>
              <w:rPr>
                <w:sz w:val="18"/>
              </w:rPr>
              <w:t>7</w:t>
            </w:r>
          </w:p>
        </w:tc>
        <w:tc>
          <w:tcPr>
            <w:tcW w:type="dxa" w:w="2880"/>
          </w:tcPr>
          <w:p>
            <w:r>
              <w:rPr>
                <w:sz w:val="18"/>
              </w:rPr>
              <w:t>Methods: variables defined</w:t>
            </w:r>
          </w:p>
        </w:tc>
        <w:tc>
          <w:tcPr>
            <w:tcW w:type="dxa" w:w="2880"/>
          </w:tcPr>
          <w:p>
            <w:r>
              <w:rPr>
                <w:sz w:val="18"/>
              </w:rPr>
              <w:t>Methods, Variables; Supplementary Methods</w:t>
            </w:r>
          </w:p>
        </w:tc>
      </w:tr>
      <w:tr>
        <w:tc>
          <w:tcPr>
            <w:tcW w:type="dxa" w:w="2880"/>
          </w:tcPr>
          <w:p>
            <w:r>
              <w:rPr>
                <w:sz w:val="18"/>
              </w:rPr>
              <w:t>8</w:t>
            </w:r>
          </w:p>
        </w:tc>
        <w:tc>
          <w:tcPr>
            <w:tcW w:type="dxa" w:w="2880"/>
          </w:tcPr>
          <w:p>
            <w:r>
              <w:rPr>
                <w:sz w:val="18"/>
              </w:rPr>
              <w:t>Methods: data sources/measurement</w:t>
            </w:r>
          </w:p>
        </w:tc>
        <w:tc>
          <w:tcPr>
            <w:tcW w:type="dxa" w:w="2880"/>
          </w:tcPr>
          <w:p>
            <w:r>
              <w:rPr>
                <w:sz w:val="18"/>
              </w:rPr>
              <w:t>Methods, Data Source; Supplementary Methods</w:t>
            </w:r>
          </w:p>
        </w:tc>
      </w:tr>
      <w:tr>
        <w:tc>
          <w:tcPr>
            <w:tcW w:type="dxa" w:w="2880"/>
          </w:tcPr>
          <w:p>
            <w:r>
              <w:rPr>
                <w:sz w:val="18"/>
              </w:rPr>
              <w:t>9</w:t>
            </w:r>
          </w:p>
        </w:tc>
        <w:tc>
          <w:tcPr>
            <w:tcW w:type="dxa" w:w="2880"/>
          </w:tcPr>
          <w:p>
            <w:r>
              <w:rPr>
                <w:sz w:val="18"/>
              </w:rPr>
              <w:t>Methods: bias</w:t>
            </w:r>
          </w:p>
        </w:tc>
        <w:tc>
          <w:tcPr>
            <w:tcW w:type="dxa" w:w="2880"/>
          </w:tcPr>
          <w:p>
            <w:r>
              <w:rPr>
                <w:sz w:val="18"/>
              </w:rPr>
              <w:t>Methods, Cohort Definition; Limitations — ED-only capture, product association, absent denominators, diagnostic misclassification</w:t>
            </w:r>
          </w:p>
        </w:tc>
      </w:tr>
      <w:tr>
        <w:tc>
          <w:tcPr>
            <w:tcW w:type="dxa" w:w="2880"/>
          </w:tcPr>
          <w:p>
            <w:r>
              <w:rPr>
                <w:sz w:val="18"/>
              </w:rPr>
              <w:t>10</w:t>
            </w:r>
          </w:p>
        </w:tc>
        <w:tc>
          <w:tcPr>
            <w:tcW w:type="dxa" w:w="2880"/>
          </w:tcPr>
          <w:p>
            <w:r>
              <w:rPr>
                <w:sz w:val="18"/>
              </w:rPr>
              <w:t>Methods: study size</w:t>
            </w:r>
          </w:p>
        </w:tc>
        <w:tc>
          <w:tcPr>
            <w:tcW w:type="dxa" w:w="2880"/>
          </w:tcPr>
          <w:p>
            <w:r>
              <w:rPr>
                <w:sz w:val="18"/>
              </w:rPr>
              <w:t>Methods, Statistical Analysis — all eligible records; no a priori sample-size calculation</w:t>
            </w:r>
          </w:p>
        </w:tc>
      </w:tr>
      <w:tr>
        <w:tc>
          <w:tcPr>
            <w:tcW w:type="dxa" w:w="2880"/>
          </w:tcPr>
          <w:p>
            <w:r>
              <w:rPr>
                <w:sz w:val="18"/>
              </w:rPr>
              <w:t>11</w:t>
            </w:r>
          </w:p>
        </w:tc>
        <w:tc>
          <w:tcPr>
            <w:tcW w:type="dxa" w:w="2880"/>
          </w:tcPr>
          <w:p>
            <w:r>
              <w:rPr>
                <w:sz w:val="18"/>
              </w:rPr>
              <w:t>Methods: quantitative variables handling</w:t>
            </w:r>
          </w:p>
        </w:tc>
        <w:tc>
          <w:tcPr>
            <w:tcW w:type="dxa" w:w="2880"/>
          </w:tcPr>
          <w:p>
            <w:r>
              <w:rPr>
                <w:sz w:val="18"/>
              </w:rPr>
              <w:t>Methods, Variables and Statistical Analysis — age groups, season mapping, continuous year term</w:t>
            </w:r>
          </w:p>
        </w:tc>
      </w:tr>
      <w:tr>
        <w:tc>
          <w:tcPr>
            <w:tcW w:type="dxa" w:w="2880"/>
          </w:tcPr>
          <w:p>
            <w:r>
              <w:rPr>
                <w:sz w:val="18"/>
              </w:rPr>
              <w:t>12a</w:t>
            </w:r>
          </w:p>
        </w:tc>
        <w:tc>
          <w:tcPr>
            <w:tcW w:type="dxa" w:w="2880"/>
          </w:tcPr>
          <w:p>
            <w:r>
              <w:rPr>
                <w:sz w:val="18"/>
              </w:rPr>
              <w:t>Methods: statistical methods</w:t>
            </w:r>
          </w:p>
        </w:tc>
        <w:tc>
          <w:tcPr>
            <w:tcW w:type="dxa" w:w="2880"/>
          </w:tcPr>
          <w:p>
            <w:r>
              <w:rPr>
                <w:sz w:val="18"/>
              </w:rPr>
              <w:t>Methods, Statistical Analysis</w:t>
            </w:r>
          </w:p>
        </w:tc>
      </w:tr>
      <w:tr>
        <w:tc>
          <w:tcPr>
            <w:tcW w:type="dxa" w:w="2880"/>
          </w:tcPr>
          <w:p>
            <w:r>
              <w:rPr>
                <w:sz w:val="18"/>
              </w:rPr>
              <w:t>12b</w:t>
            </w:r>
          </w:p>
        </w:tc>
        <w:tc>
          <w:tcPr>
            <w:tcW w:type="dxa" w:w="2880"/>
          </w:tcPr>
          <w:p>
            <w:r>
              <w:rPr>
                <w:sz w:val="18"/>
              </w:rPr>
              <w:t>Methods: subgroups and interactions</w:t>
            </w:r>
          </w:p>
        </w:tc>
        <w:tc>
          <w:tcPr>
            <w:tcW w:type="dxa" w:w="2880"/>
          </w:tcPr>
          <w:p>
            <w:r>
              <w:rPr>
                <w:sz w:val="18"/>
              </w:rPr>
              <w:t>Methods, Statistical Analysis — sport, age, sex subgroups; multiplicity approach stated</w:t>
            </w:r>
          </w:p>
        </w:tc>
      </w:tr>
      <w:tr>
        <w:tc>
          <w:tcPr>
            <w:tcW w:type="dxa" w:w="2880"/>
          </w:tcPr>
          <w:p>
            <w:r>
              <w:rPr>
                <w:sz w:val="18"/>
              </w:rPr>
              <w:t>12c</w:t>
            </w:r>
          </w:p>
        </w:tc>
        <w:tc>
          <w:tcPr>
            <w:tcW w:type="dxa" w:w="2880"/>
          </w:tcPr>
          <w:p>
            <w:r>
              <w:rPr>
                <w:sz w:val="18"/>
              </w:rPr>
              <w:t>Methods: missing data</w:t>
            </w:r>
          </w:p>
        </w:tc>
        <w:tc>
          <w:tcPr>
            <w:tcW w:type="dxa" w:w="2880"/>
          </w:tcPr>
          <w:p>
            <w:r>
              <w:rPr>
                <w:sz w:val="18"/>
              </w:rPr>
              <w:t>Supplementary Table S6</w:t>
            </w:r>
          </w:p>
        </w:tc>
      </w:tr>
      <w:tr>
        <w:tc>
          <w:tcPr>
            <w:tcW w:type="dxa" w:w="2880"/>
          </w:tcPr>
          <w:p>
            <w:r>
              <w:rPr>
                <w:sz w:val="18"/>
              </w:rPr>
              <w:t>12d</w:t>
            </w:r>
          </w:p>
        </w:tc>
        <w:tc>
          <w:tcPr>
            <w:tcW w:type="dxa" w:w="2880"/>
          </w:tcPr>
          <w:p>
            <w:r>
              <w:rPr>
                <w:sz w:val="18"/>
              </w:rPr>
              <w:t>Methods: sampling strategy accounted for</w:t>
            </w:r>
          </w:p>
        </w:tc>
        <w:tc>
          <w:tcPr>
            <w:tcW w:type="dxa" w:w="2880"/>
          </w:tcPr>
          <w:p>
            <w:r>
              <w:rPr>
                <w:sz w:val="18"/>
              </w:rPr>
              <w:t>Methods, Statistical Analysis — svydesign specification, stratum/PSU counts, lonely-PSU statement</w:t>
            </w:r>
          </w:p>
        </w:tc>
      </w:tr>
      <w:tr>
        <w:tc>
          <w:tcPr>
            <w:tcW w:type="dxa" w:w="2880"/>
          </w:tcPr>
          <w:p>
            <w:r>
              <w:rPr>
                <w:sz w:val="18"/>
              </w:rPr>
              <w:t>12e</w:t>
            </w:r>
          </w:p>
        </w:tc>
        <w:tc>
          <w:tcPr>
            <w:tcW w:type="dxa" w:w="2880"/>
          </w:tcPr>
          <w:p>
            <w:r>
              <w:rPr>
                <w:sz w:val="18"/>
              </w:rPr>
              <w:t>Methods: sensitivity analyses</w:t>
            </w:r>
          </w:p>
        </w:tc>
        <w:tc>
          <w:tcPr>
            <w:tcW w:type="dxa" w:w="2880"/>
          </w:tcPr>
          <w:p>
            <w:r>
              <w:rPr>
                <w:sz w:val="18"/>
              </w:rPr>
              <w:t>Methods and Results, Sensitivity Analyses</w:t>
            </w:r>
          </w:p>
        </w:tc>
      </w:tr>
      <w:tr>
        <w:tc>
          <w:tcPr>
            <w:tcW w:type="dxa" w:w="2880"/>
          </w:tcPr>
          <w:p>
            <w:r>
              <w:rPr>
                <w:sz w:val="18"/>
              </w:rPr>
              <w:t>13</w:t>
            </w:r>
          </w:p>
        </w:tc>
        <w:tc>
          <w:tcPr>
            <w:tcW w:type="dxa" w:w="2880"/>
          </w:tcPr>
          <w:p>
            <w:r>
              <w:rPr>
                <w:sz w:val="18"/>
              </w:rPr>
              <w:t>Results: participants</w:t>
            </w:r>
          </w:p>
        </w:tc>
        <w:tc>
          <w:tcPr>
            <w:tcW w:type="dxa" w:w="2880"/>
          </w:tcPr>
          <w:p>
            <w:r>
              <w:rPr>
                <w:sz w:val="18"/>
              </w:rPr>
              <w:t>Results, Cohort; Figure 1; Supplementary Table S2</w:t>
            </w:r>
          </w:p>
        </w:tc>
      </w:tr>
      <w:tr>
        <w:tc>
          <w:tcPr>
            <w:tcW w:type="dxa" w:w="2880"/>
          </w:tcPr>
          <w:p>
            <w:r>
              <w:rPr>
                <w:sz w:val="18"/>
              </w:rPr>
              <w:t>14</w:t>
            </w:r>
          </w:p>
        </w:tc>
        <w:tc>
          <w:tcPr>
            <w:tcW w:type="dxa" w:w="2880"/>
          </w:tcPr>
          <w:p>
            <w:r>
              <w:rPr>
                <w:sz w:val="18"/>
              </w:rPr>
              <w:t>Results: descriptive data</w:t>
            </w:r>
          </w:p>
        </w:tc>
        <w:tc>
          <w:tcPr>
            <w:tcW w:type="dxa" w:w="2880"/>
          </w:tcPr>
          <w:p>
            <w:r>
              <w:rPr>
                <w:sz w:val="18"/>
              </w:rPr>
              <w:t>Results; Table 1</w:t>
            </w:r>
          </w:p>
        </w:tc>
      </w:tr>
      <w:tr>
        <w:tc>
          <w:tcPr>
            <w:tcW w:type="dxa" w:w="2880"/>
          </w:tcPr>
          <w:p>
            <w:r>
              <w:rPr>
                <w:sz w:val="18"/>
              </w:rPr>
              <w:t>15</w:t>
            </w:r>
          </w:p>
        </w:tc>
        <w:tc>
          <w:tcPr>
            <w:tcW w:type="dxa" w:w="2880"/>
          </w:tcPr>
          <w:p>
            <w:r>
              <w:rPr>
                <w:sz w:val="18"/>
              </w:rPr>
              <w:t>Results: outcome data</w:t>
            </w:r>
          </w:p>
        </w:tc>
        <w:tc>
          <w:tcPr>
            <w:tcW w:type="dxa" w:w="2880"/>
          </w:tcPr>
          <w:p>
            <w:r>
              <w:rPr>
                <w:sz w:val="18"/>
              </w:rPr>
              <w:t>Results; Tables 1-2</w:t>
            </w:r>
          </w:p>
        </w:tc>
      </w:tr>
      <w:tr>
        <w:tc>
          <w:tcPr>
            <w:tcW w:type="dxa" w:w="2880"/>
          </w:tcPr>
          <w:p>
            <w:r>
              <w:rPr>
                <w:sz w:val="18"/>
              </w:rPr>
              <w:t>16</w:t>
            </w:r>
          </w:p>
        </w:tc>
        <w:tc>
          <w:tcPr>
            <w:tcW w:type="dxa" w:w="2880"/>
          </w:tcPr>
          <w:p>
            <w:r>
              <w:rPr>
                <w:sz w:val="18"/>
              </w:rPr>
              <w:t>Results: main results with precision</w:t>
            </w:r>
          </w:p>
        </w:tc>
        <w:tc>
          <w:tcPr>
            <w:tcW w:type="dxa" w:w="2880"/>
          </w:tcPr>
          <w:p>
            <w:r>
              <w:rPr>
                <w:sz w:val="18"/>
              </w:rPr>
              <w:t>Results; Tables 1-3 — all estimates now with 95% CIs; unadjusted and Holm-adjusted p values</w:t>
            </w:r>
          </w:p>
        </w:tc>
      </w:tr>
      <w:tr>
        <w:tc>
          <w:tcPr>
            <w:tcW w:type="dxa" w:w="2880"/>
          </w:tcPr>
          <w:p>
            <w:r>
              <w:rPr>
                <w:sz w:val="18"/>
              </w:rPr>
              <w:t>17</w:t>
            </w:r>
          </w:p>
        </w:tc>
        <w:tc>
          <w:tcPr>
            <w:tcW w:type="dxa" w:w="2880"/>
          </w:tcPr>
          <w:p>
            <w:r>
              <w:rPr>
                <w:sz w:val="18"/>
              </w:rPr>
              <w:t>Results: other analyses</w:t>
            </w:r>
          </w:p>
        </w:tc>
        <w:tc>
          <w:tcPr>
            <w:tcW w:type="dxa" w:w="2880"/>
          </w:tcPr>
          <w:p>
            <w:r>
              <w:rPr>
                <w:sz w:val="18"/>
              </w:rPr>
              <w:t>Results, Sensitivity Analyses, Diagnostic Concordance, Narrative Mechanism</w:t>
            </w:r>
          </w:p>
        </w:tc>
      </w:tr>
      <w:tr>
        <w:tc>
          <w:tcPr>
            <w:tcW w:type="dxa" w:w="2880"/>
          </w:tcPr>
          <w:p>
            <w:r>
              <w:rPr>
                <w:sz w:val="18"/>
              </w:rPr>
              <w:t>18</w:t>
            </w:r>
          </w:p>
        </w:tc>
        <w:tc>
          <w:tcPr>
            <w:tcW w:type="dxa" w:w="2880"/>
          </w:tcPr>
          <w:p>
            <w:r>
              <w:rPr>
                <w:sz w:val="18"/>
              </w:rPr>
              <w:t>Discussion: key results</w:t>
            </w:r>
          </w:p>
        </w:tc>
        <w:tc>
          <w:tcPr>
            <w:tcW w:type="dxa" w:w="2880"/>
          </w:tcPr>
          <w:p>
            <w:r>
              <w:rPr>
                <w:sz w:val="18"/>
              </w:rPr>
              <w:t>Discussion, Principal Findings</w:t>
            </w:r>
          </w:p>
        </w:tc>
      </w:tr>
      <w:tr>
        <w:tc>
          <w:tcPr>
            <w:tcW w:type="dxa" w:w="2880"/>
          </w:tcPr>
          <w:p>
            <w:r>
              <w:rPr>
                <w:sz w:val="18"/>
              </w:rPr>
              <w:t>19</w:t>
            </w:r>
          </w:p>
        </w:tc>
        <w:tc>
          <w:tcPr>
            <w:tcW w:type="dxa" w:w="2880"/>
          </w:tcPr>
          <w:p>
            <w:r>
              <w:rPr>
                <w:sz w:val="18"/>
              </w:rPr>
              <w:t>Discussion: limitations</w:t>
            </w:r>
          </w:p>
        </w:tc>
        <w:tc>
          <w:tcPr>
            <w:tcW w:type="dxa" w:w="2880"/>
          </w:tcPr>
          <w:p>
            <w:r>
              <w:rPr>
                <w:sz w:val="18"/>
              </w:rPr>
              <w:t>Limitations</w:t>
            </w:r>
          </w:p>
        </w:tc>
      </w:tr>
      <w:tr>
        <w:tc>
          <w:tcPr>
            <w:tcW w:type="dxa" w:w="2880"/>
          </w:tcPr>
          <w:p>
            <w:r>
              <w:rPr>
                <w:sz w:val="18"/>
              </w:rPr>
              <w:t>20</w:t>
            </w:r>
          </w:p>
        </w:tc>
        <w:tc>
          <w:tcPr>
            <w:tcW w:type="dxa" w:w="2880"/>
          </w:tcPr>
          <w:p>
            <w:r>
              <w:rPr>
                <w:sz w:val="18"/>
              </w:rPr>
              <w:t>Discussion: interpretation</w:t>
            </w:r>
          </w:p>
        </w:tc>
        <w:tc>
          <w:tcPr>
            <w:tcW w:type="dxa" w:w="2880"/>
          </w:tcPr>
          <w:p>
            <w:r>
              <w:rPr>
                <w:sz w:val="18"/>
              </w:rPr>
              <w:t>Discussion — conditional estimand stated; mechanisms presented as hypotheses</w:t>
            </w:r>
          </w:p>
        </w:tc>
      </w:tr>
      <w:tr>
        <w:tc>
          <w:tcPr>
            <w:tcW w:type="dxa" w:w="2880"/>
          </w:tcPr>
          <w:p>
            <w:r>
              <w:rPr>
                <w:sz w:val="18"/>
              </w:rPr>
              <w:t>21</w:t>
            </w:r>
          </w:p>
        </w:tc>
        <w:tc>
          <w:tcPr>
            <w:tcW w:type="dxa" w:w="2880"/>
          </w:tcPr>
          <w:p>
            <w:r>
              <w:rPr>
                <w:sz w:val="18"/>
              </w:rPr>
              <w:t>Discussion: generalisability</w:t>
            </w:r>
          </w:p>
        </w:tc>
        <w:tc>
          <w:tcPr>
            <w:tcW w:type="dxa" w:w="2880"/>
          </w:tcPr>
          <w:p>
            <w:r>
              <w:rPr>
                <w:sz w:val="18"/>
              </w:rPr>
              <w:t>Discussion, Comparison With Previous Literature; Limitations</w:t>
            </w:r>
          </w:p>
        </w:tc>
      </w:tr>
      <w:tr>
        <w:tc>
          <w:tcPr>
            <w:tcW w:type="dxa" w:w="2880"/>
          </w:tcPr>
          <w:p>
            <w:r>
              <w:rPr>
                <w:sz w:val="18"/>
              </w:rPr>
              <w:t>22</w:t>
            </w:r>
          </w:p>
        </w:tc>
        <w:tc>
          <w:tcPr>
            <w:tcW w:type="dxa" w:w="2880"/>
          </w:tcPr>
          <w:p>
            <w:r>
              <w:rPr>
                <w:sz w:val="18"/>
              </w:rPr>
              <w:t>Other: funding</w:t>
            </w:r>
          </w:p>
        </w:tc>
        <w:tc>
          <w:tcPr>
            <w:tcW w:type="dxa" w:w="2880"/>
          </w:tcPr>
          <w:p>
            <w:r>
              <w:rPr>
                <w:sz w:val="18"/>
              </w:rPr>
              <w:t>Statements, Funding</w:t>
            </w:r>
          </w:p>
        </w:tc>
      </w:tr>
    </w:tbl>
    <w:p>
      <w:pPr>
        <w:spacing w:after="160"/>
      </w:pPr>
    </w:p>
    <w:p>
      <w:pPr>
        <w:spacing w:after="160"/>
      </w:pPr>
      <w:r>
        <w:t>Items 6b (matching criteria), 12f (loss to follow-up), and follow-up-related sub-items are not applicable: this is a cross-sectional analysis of a repeated-cross-section surveillance sample with no longitudinal follow-up of individuals and no matching.</w:t>
      </w:r>
    </w:p>
    <w:p>
      <w:r>
        <w:br w:type="page"/>
      </w:r>
    </w:p>
    <w:p>
      <w:pPr>
        <w:pStyle w:val="Title"/>
      </w:pPr>
      <w:r>
        <w:rPr>
          <w:color w:val="1F3864"/>
        </w:rPr>
        <w:t>Supplementary File: RECORD Checklist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
              <w:rPr>
                <w:b/>
                <w:sz w:val="18"/>
              </w:rPr>
              <w:t>Item</w:t>
            </w:r>
          </w:p>
        </w:tc>
        <w:tc>
          <w:tcPr>
            <w:tcW w:type="dxa" w:w="2880"/>
            <w:shd w:val="clear" w:fill="D9E2F3"/>
          </w:tcPr>
          <w:p>
            <w:r/>
            <w:r>
              <w:rPr>
                <w:b/>
                <w:sz w:val="18"/>
              </w:rPr>
              <w:t>RECORD recommendation</w:t>
            </w:r>
          </w:p>
        </w:tc>
        <w:tc>
          <w:tcPr>
            <w:tcW w:type="dxa" w:w="2880"/>
            <w:shd w:val="clear" w:fill="D9E2F3"/>
          </w:tcPr>
          <w:p>
            <w:r/>
            <w:r>
              <w:rPr>
                <w:b/>
                <w:sz w:val="18"/>
              </w:rPr>
              <w:t>Location in revised manuscript</w:t>
            </w:r>
          </w:p>
        </w:tc>
      </w:tr>
      <w:tr>
        <w:tc>
          <w:tcPr>
            <w:tcW w:type="dxa" w:w="2880"/>
          </w:tcPr>
          <w:p>
            <w:r>
              <w:rPr>
                <w:sz w:val="18"/>
              </w:rPr>
              <w:t>RECORD 1.1</w:t>
            </w:r>
          </w:p>
        </w:tc>
        <w:tc>
          <w:tcPr>
            <w:tcW w:type="dxa" w:w="2880"/>
          </w:tcPr>
          <w:p>
            <w:r>
              <w:rPr>
                <w:sz w:val="18"/>
              </w:rPr>
              <w:t>Type of data, databases, and selection of populations</w:t>
            </w:r>
          </w:p>
        </w:tc>
        <w:tc>
          <w:tcPr>
            <w:tcW w:type="dxa" w:w="2880"/>
          </w:tcPr>
          <w:p>
            <w:r>
              <w:rPr>
                <w:sz w:val="18"/>
              </w:rPr>
              <w:t>Methods, Data Source and Cohort Definition; Supplementary Methods</w:t>
            </w:r>
          </w:p>
        </w:tc>
      </w:tr>
      <w:tr>
        <w:tc>
          <w:tcPr>
            <w:tcW w:type="dxa" w:w="2880"/>
          </w:tcPr>
          <w:p>
            <w:r>
              <w:rPr>
                <w:sz w:val="18"/>
              </w:rPr>
              <w:t>RECORD 1.2</w:t>
            </w:r>
          </w:p>
        </w:tc>
        <w:tc>
          <w:tcPr>
            <w:tcW w:type="dxa" w:w="2880"/>
          </w:tcPr>
          <w:p>
            <w:r>
              <w:rPr>
                <w:sz w:val="18"/>
              </w:rPr>
              <w:t>Population selection: codes and algorithms</w:t>
            </w:r>
          </w:p>
        </w:tc>
        <w:tc>
          <w:tcPr>
            <w:tcW w:type="dxa" w:w="2880"/>
          </w:tcPr>
          <w:p>
            <w:r>
              <w:rPr>
                <w:sz w:val="18"/>
              </w:rPr>
              <w:t>Methods, Selection of Ball-Sport Product Codes; Supplementary Table S1; deposited code</w:t>
            </w:r>
          </w:p>
        </w:tc>
      </w:tr>
      <w:tr>
        <w:tc>
          <w:tcPr>
            <w:tcW w:type="dxa" w:w="2880"/>
          </w:tcPr>
          <w:p>
            <w:r>
              <w:rPr>
                <w:sz w:val="18"/>
              </w:rPr>
              <w:t>RECORD 1.3</w:t>
            </w:r>
          </w:p>
        </w:tc>
        <w:tc>
          <w:tcPr>
            <w:tcW w:type="dxa" w:w="2880"/>
          </w:tcPr>
          <w:p>
            <w:r>
              <w:rPr>
                <w:sz w:val="18"/>
              </w:rPr>
              <w:t>Validation of codes/algorithms</w:t>
            </w:r>
          </w:p>
        </w:tc>
        <w:tc>
          <w:tcPr>
            <w:tcW w:type="dxa" w:w="2880"/>
          </w:tcPr>
          <w:p>
            <w:r>
              <w:rPr>
                <w:sz w:val="18"/>
              </w:rPr>
              <w:t>Methods — official CPSC data dictionary and format file used for verification; Supplementary Methods</w:t>
            </w:r>
          </w:p>
        </w:tc>
      </w:tr>
      <w:tr>
        <w:tc>
          <w:tcPr>
            <w:tcW w:type="dxa" w:w="2880"/>
          </w:tcPr>
          <w:p>
            <w:r>
              <w:rPr>
                <w:sz w:val="18"/>
              </w:rPr>
              <w:t>RECORD 6.1</w:t>
            </w:r>
          </w:p>
        </w:tc>
        <w:tc>
          <w:tcPr>
            <w:tcW w:type="dxa" w:w="2880"/>
          </w:tcPr>
          <w:p>
            <w:r>
              <w:rPr>
                <w:sz w:val="18"/>
              </w:rPr>
              <w:t>Codes and algorithms to classify exposures, outcomes, confounders</w:t>
            </w:r>
          </w:p>
        </w:tc>
        <w:tc>
          <w:tcPr>
            <w:tcW w:type="dxa" w:w="2880"/>
          </w:tcPr>
          <w:p>
            <w:r>
              <w:rPr>
                <w:sz w:val="18"/>
              </w:rPr>
              <w:t>Methods, Variables; Supplementary Table S1; Supplementary Methods</w:t>
            </w:r>
          </w:p>
        </w:tc>
      </w:tr>
      <w:tr>
        <w:tc>
          <w:tcPr>
            <w:tcW w:type="dxa" w:w="2880"/>
          </w:tcPr>
          <w:p>
            <w:r>
              <w:rPr>
                <w:sz w:val="18"/>
              </w:rPr>
              <w:t>RECORD 6.2</w:t>
            </w:r>
          </w:p>
        </w:tc>
        <w:tc>
          <w:tcPr>
            <w:tcW w:type="dxa" w:w="2880"/>
          </w:tcPr>
          <w:p>
            <w:r>
              <w:rPr>
                <w:sz w:val="18"/>
              </w:rPr>
              <w:t>Validation of these codes</w:t>
            </w:r>
          </w:p>
        </w:tc>
        <w:tc>
          <w:tcPr>
            <w:tcW w:type="dxa" w:w="2880"/>
          </w:tcPr>
          <w:p>
            <w:r>
              <w:rPr>
                <w:sz w:val="18"/>
              </w:rPr>
              <w:t>Methods; Results, Diagnostic Concordance; Supplementary Table S8</w:t>
            </w:r>
          </w:p>
        </w:tc>
      </w:tr>
      <w:tr>
        <w:tc>
          <w:tcPr>
            <w:tcW w:type="dxa" w:w="2880"/>
          </w:tcPr>
          <w:p>
            <w:r>
              <w:rPr>
                <w:sz w:val="18"/>
              </w:rPr>
              <w:t>RECORD 6.3</w:t>
            </w:r>
          </w:p>
        </w:tc>
        <w:tc>
          <w:tcPr>
            <w:tcW w:type="dxa" w:w="2880"/>
          </w:tcPr>
          <w:p>
            <w:r>
              <w:rPr>
                <w:sz w:val="18"/>
              </w:rPr>
              <w:t>Validation studies referenced</w:t>
            </w:r>
          </w:p>
        </w:tc>
        <w:tc>
          <w:tcPr>
            <w:tcW w:type="dxa" w:w="2880"/>
          </w:tcPr>
          <w:p>
            <w:r>
              <w:rPr>
                <w:sz w:val="18"/>
              </w:rPr>
              <w:t>Limitations — no external radiographic validation available; internal concordance reported</w:t>
            </w:r>
          </w:p>
        </w:tc>
      </w:tr>
      <w:tr>
        <w:tc>
          <w:tcPr>
            <w:tcW w:type="dxa" w:w="2880"/>
          </w:tcPr>
          <w:p>
            <w:r>
              <w:rPr>
                <w:sz w:val="18"/>
              </w:rPr>
              <w:t>RECORD 7.1</w:t>
            </w:r>
          </w:p>
        </w:tc>
        <w:tc>
          <w:tcPr>
            <w:tcW w:type="dxa" w:w="2880"/>
          </w:tcPr>
          <w:p>
            <w:r>
              <w:rPr>
                <w:sz w:val="18"/>
              </w:rPr>
              <w:t>Data cleaning methods</w:t>
            </w:r>
          </w:p>
        </w:tc>
        <w:tc>
          <w:tcPr>
            <w:tcW w:type="dxa" w:w="2880"/>
          </w:tcPr>
          <w:p>
            <w:r>
              <w:rPr>
                <w:sz w:val="18"/>
              </w:rPr>
              <w:t>Methods, Cohort Definition; Supplementary Methods; Supplementary Table S6</w:t>
            </w:r>
          </w:p>
        </w:tc>
      </w:tr>
      <w:tr>
        <w:tc>
          <w:tcPr>
            <w:tcW w:type="dxa" w:w="2880"/>
          </w:tcPr>
          <w:p>
            <w:r>
              <w:rPr>
                <w:sz w:val="18"/>
              </w:rPr>
              <w:t>RECORD 11.1</w:t>
            </w:r>
          </w:p>
        </w:tc>
        <w:tc>
          <w:tcPr>
            <w:tcW w:type="dxa" w:w="2880"/>
          </w:tcPr>
          <w:p>
            <w:r>
              <w:rPr>
                <w:sz w:val="18"/>
              </w:rPr>
              <w:t>Linkage of databases</w:t>
            </w:r>
          </w:p>
        </w:tc>
        <w:tc>
          <w:tcPr>
            <w:tcW w:type="dxa" w:w="2880"/>
          </w:tcPr>
          <w:p>
            <w:r>
              <w:rPr>
                <w:sz w:val="18"/>
              </w:rPr>
              <w:t>NA — single data source; no record linkage performed</w:t>
            </w:r>
          </w:p>
        </w:tc>
      </w:tr>
      <w:tr>
        <w:tc>
          <w:tcPr>
            <w:tcW w:type="dxa" w:w="2880"/>
          </w:tcPr>
          <w:p>
            <w:r>
              <w:rPr>
                <w:sz w:val="18"/>
              </w:rPr>
              <w:t>RECORD 12.1</w:t>
            </w:r>
          </w:p>
        </w:tc>
        <w:tc>
          <w:tcPr>
            <w:tcW w:type="dxa" w:w="2880"/>
          </w:tcPr>
          <w:p>
            <w:r>
              <w:rPr>
                <w:sz w:val="18"/>
              </w:rPr>
              <w:t>Population selection flow diagram</w:t>
            </w:r>
          </w:p>
        </w:tc>
        <w:tc>
          <w:tcPr>
            <w:tcW w:type="dxa" w:w="2880"/>
          </w:tcPr>
          <w:p>
            <w:r>
              <w:rPr>
                <w:sz w:val="18"/>
              </w:rPr>
              <w:t>Figure 1; Supplementary Table S2</w:t>
            </w:r>
          </w:p>
        </w:tc>
      </w:tr>
      <w:tr>
        <w:tc>
          <w:tcPr>
            <w:tcW w:type="dxa" w:w="2880"/>
          </w:tcPr>
          <w:p>
            <w:r>
              <w:rPr>
                <w:sz w:val="18"/>
              </w:rPr>
              <w:t>RECORD 13.1</w:t>
            </w:r>
          </w:p>
        </w:tc>
        <w:tc>
          <w:tcPr>
            <w:tcW w:type="dxa" w:w="2880"/>
          </w:tcPr>
          <w:p>
            <w:r>
              <w:rPr>
                <w:sz w:val="18"/>
              </w:rPr>
              <w:t>Implications of using routinely collected data</w:t>
            </w:r>
          </w:p>
        </w:tc>
        <w:tc>
          <w:tcPr>
            <w:tcW w:type="dxa" w:w="2880"/>
          </w:tcPr>
          <w:p>
            <w:r>
              <w:rPr>
                <w:sz w:val="18"/>
              </w:rPr>
              <w:t>Limitations; Discussion, Severity and Health-System Interpretation</w:t>
            </w:r>
          </w:p>
        </w:tc>
      </w:tr>
      <w:tr>
        <w:tc>
          <w:tcPr>
            <w:tcW w:type="dxa" w:w="2880"/>
          </w:tcPr>
          <w:p>
            <w:r>
              <w:rPr>
                <w:sz w:val="18"/>
              </w:rPr>
              <w:t>RECORD 19.1</w:t>
            </w:r>
          </w:p>
        </w:tc>
        <w:tc>
          <w:tcPr>
            <w:tcW w:type="dxa" w:w="2880"/>
          </w:tcPr>
          <w:p>
            <w:r>
              <w:rPr>
                <w:sz w:val="18"/>
              </w:rPr>
              <w:t>Discussion of misclassification and unmeasured confounding</w:t>
            </w:r>
          </w:p>
        </w:tc>
        <w:tc>
          <w:tcPr>
            <w:tcW w:type="dxa" w:w="2880"/>
          </w:tcPr>
          <w:p>
            <w:r>
              <w:rPr>
                <w:sz w:val="18"/>
              </w:rPr>
              <w:t>Limitations — diagnostic misclassification; Discussion — conditional estimand and care-seeking/coding alternatives</w:t>
            </w:r>
          </w:p>
        </w:tc>
      </w:tr>
      <w:tr>
        <w:tc>
          <w:tcPr>
            <w:tcW w:type="dxa" w:w="2880"/>
          </w:tcPr>
          <w:p>
            <w:r>
              <w:rPr>
                <w:sz w:val="18"/>
              </w:rPr>
              <w:t>RECORD 22.1</w:t>
            </w:r>
          </w:p>
        </w:tc>
        <w:tc>
          <w:tcPr>
            <w:tcW w:type="dxa" w:w="2880"/>
          </w:tcPr>
          <w:p>
            <w:r>
              <w:rPr>
                <w:sz w:val="18"/>
              </w:rPr>
              <w:t>Access to protocol, raw data, programming code</w:t>
            </w:r>
          </w:p>
        </w:tc>
        <w:tc>
          <w:tcPr>
            <w:tcW w:type="dxa" w:w="2880"/>
          </w:tcPr>
          <w:p>
            <w:r>
              <w:rPr>
                <w:sz w:val="18"/>
              </w:rPr>
              <w:t>Statements, Data Availability — public repository and DOI</w:t>
            </w:r>
          </w:p>
        </w:tc>
      </w:tr>
      <w:tr>
        <w:tc>
          <w:tcPr>
            <w:tcW w:type="dxa" w:w="2880"/>
          </w:tcPr>
          <w:p>
            <w:r>
              <w:rPr>
                <w:sz w:val="18"/>
              </w:rPr>
              <w:t>RECORD 22.2</w:t>
            </w:r>
          </w:p>
        </w:tc>
        <w:tc>
          <w:tcPr>
            <w:tcW w:type="dxa" w:w="2880"/>
          </w:tcPr>
          <w:p>
            <w:r>
              <w:rPr>
                <w:sz w:val="18"/>
              </w:rPr>
              <w:t>Availability of the population base</w:t>
            </w:r>
          </w:p>
        </w:tc>
        <w:tc>
          <w:tcPr>
            <w:tcW w:type="dxa" w:w="2880"/>
          </w:tcPr>
          <w:p>
            <w:r>
              <w:rPr>
                <w:sz w:val="18"/>
              </w:rPr>
              <w:t>Statements, Data Availability — CPSC NEISS public archive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