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1"/>
        </w:rPr>
        <w:t>Table 1. Baseline characteristics of the main analytic cohort, 2015-2025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8"/>
        <w:gridCol w:w="1888"/>
        <w:gridCol w:w="1888"/>
        <w:gridCol w:w="1888"/>
        <w:gridCol w:w="1888"/>
        <w:gridCol w:w="1888"/>
        <w:gridCol w:w="1888"/>
        <w:gridCol w:w="1888"/>
      </w:tblGrid>
      <w:tr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Characteristic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Unweighted n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Weighted national estimate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CV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Weighted %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 for %</w:t>
            </w:r>
          </w:p>
        </w:tc>
        <w:tc>
          <w:tcPr>
            <w:tcW w:type="dxa" w:w="188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Instability flag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Age group: 10-12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5757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142,669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107,382-177,955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32.3%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30.6-34.1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Age group: 13-15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7061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196,461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150,611-242,311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44.5%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43.0-46.1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Age group: 16-18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3248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102,311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81,562-123,060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10.3%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23.2%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21.6-24.9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Sex: female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3593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103,151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80,735-125,566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23.4%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21.9-24.9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Sex: male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12472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338,285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259,915-416,655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76.6%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75.2-78.1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Sex: unknown/other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-5 to 16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100.0%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0.0-0.0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color w:val="C00000"/>
                <w:sz w:val="17"/>
              </w:rPr>
              <w:t>estimate&lt;1200; n&lt;20; cv&gt;33%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Calendar period: pandemic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1959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46,706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32,121-61,291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9.2-12.1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Calendar period: post-pandemic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5743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158,377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124,392-192,362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35.9%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31.1-41.4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Calendar period: pre-pandemic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8364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236,358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173,411-299,304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53.5%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48.8-58.7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baseball/softball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1282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40,297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30,159-50,434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8.2-10.1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basketball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5770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154,526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119,596-189,455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35.0%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33.2-37.0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football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5990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166,972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126,984-206,959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37.8%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36.0-39.7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other selected ball and stick sports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974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27,066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20,748-33,384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5.3-7.0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soccer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1430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34,880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25,399-44,361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7.9%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6.9-9.1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Sport group: volleyball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620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17,701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13,153-22,249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3.5-4.6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Diagnosis group: dislocation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2213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73,996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59,393-88,600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16.8%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15.3-18.4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Diagnosis group: fracture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13853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367,444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280,901-453,988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83.2%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81.7-84.8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Disposition: admitted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1,214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652-1,776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23.6%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0.3%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0.2-0.4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Disposition: observation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143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-54 to 340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70.3%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0.0-0.1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color w:val="C00000"/>
                <w:sz w:val="17"/>
              </w:rPr>
              <w:t>estimate&lt;1200; n&lt;20; cv&gt;33%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Disposition: other/unknown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536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179-893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34.0%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0.1-0.2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color w:val="C00000"/>
                <w:sz w:val="17"/>
              </w:rPr>
              <w:t>estimate&lt;1200; cv&gt;33%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Disposition: transferred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746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146-1,346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41.1%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0.2%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0.1-0.4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color w:val="C00000"/>
                <w:sz w:val="17"/>
              </w:rPr>
              <w:t>estimate&lt;1200; n&lt;20; cv&gt;33%</w:t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Disposition: treated/released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15945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438,803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339,456-538,149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11.6%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99.4%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99.2-99.6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Season: fall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5340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147,545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114,920-180,170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11.3%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33.4%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32.0-34.9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Season: spring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4454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118,987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89,372-148,602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12.7%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27.0%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25.6-28.4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Season: summer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3146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83,182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66,118-100,246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10.5%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18.8%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17.4-20.4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  <w:tr>
        <w:tc>
          <w:tcPr>
            <w:tcW w:type="dxa" w:w="1888"/>
          </w:tcPr>
          <w:p>
            <w:pPr>
              <w:jc w:val="left"/>
            </w:pPr>
            <w:r>
              <w:rPr>
                <w:sz w:val="17"/>
              </w:rPr>
              <w:t>Season: winter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3126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91,726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68,444-115,008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13.0%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20.8%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  <w:t>19.5-22.2</w:t>
            </w:r>
          </w:p>
        </w:tc>
        <w:tc>
          <w:tcPr>
            <w:tcW w:type="dxa" w:w="1888"/>
          </w:tcPr>
          <w:p>
            <w:pPr>
              <w:jc w:val="center"/>
            </w:pPr>
            <w:r>
              <w:rPr>
                <w:sz w:val="17"/>
              </w:rPr>
            </w:r>
          </w:p>
        </w:tc>
      </w:tr>
    </w:tbl>
    <w:p>
      <w:pPr>
        <w:spacing w:before="120" w:after="280"/>
      </w:pPr>
      <w:r>
        <w:rPr>
          <w:i/>
          <w:sz w:val="16"/>
        </w:rPr>
        <w:t>Weighted national estimates of emergency department visits with 95% confidence intervals. Confidence intervals for totals were computed as the estimate ± 1.96 standard errors, with standard errors estimated by Taylor linearization using NEISS stratum, primary sampling unit, and sample-weight variables; intervals for percentages were computed on the log scale from the linearized ratio variance. Instability flags follow CPSC criteria (weighted estimate &lt;1,200, unweighted n &lt;20, or CV &gt;33%). All weighted estimates are rounded from unrounded survey-weighted values, so components may not sum exactly to the cohort total of 441,441 (exact value 441,440.82). Sex reflects emergency department administrative coding; the single record coded unknown/other is retained here but was excluded from the model in Table 3. CI, confidence interval; CV, coefficient of variation; NEISS, National Electronic Injury Surveillance System.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Table 2. Sport-specific injury patterns, 2015-2025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Sport group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Unweighted n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Weighted national estimate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CV of sport total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Fracture %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Dislocation %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51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Top season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football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5990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166,972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126,984-206,959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12.2%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81.7%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79.8-83.7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18.3%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16.4-20.3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fall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basketball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5770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154,526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119,596-189,455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11.5%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81.8%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79.6-84.1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18.2%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16.1-20.6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winter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baseball/softball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1282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40,297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30,159-50,434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12.8%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88.4%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86.1-90.7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11.6%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9.5-14.2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spring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soccer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1430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34,880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25,399-44,361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13.9%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86.3%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83.1-89.7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13.7%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10.7-17.4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fall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other selected ball and stick sports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974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27,066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20,748-33,384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11.9%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90.6%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88.0-93.3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9.4%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7.1-12.4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spring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>
              <w:rPr>
                <w:sz w:val="17"/>
              </w:rPr>
              <w:t>volleyball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620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17,701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13,153-22,249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13.1%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80.6%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75.7-86.0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19.4%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14.8-25.2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sz w:val="17"/>
              </w:rPr>
              <w:t>fall</w:t>
            </w:r>
          </w:p>
        </w:tc>
      </w:tr>
    </w:tbl>
    <w:p>
      <w:pPr>
        <w:spacing w:before="120" w:after="280"/>
      </w:pPr>
      <w:r>
        <w:rPr>
          <w:i/>
          <w:sz w:val="16"/>
        </w:rPr>
        <w:t>The CV column refers to the coefficient of variation of each sport group's TOTAL weighted estimate. Sport-specific severe-disposition percentages are not reported: all six sport-specific severe-disposition estimates failed CPSC instability criteria, none reaching the reportability threshold of 1,200 (Supplementary Table S7). The overall severe-disposition estimate was 2,102 visits (95% CI 1,289-2,916; 0.48%, 95% CI 0.32-0.70). Fracture and dislocation percentages are weighted within sport group and sum to 100% for each sport. "Other selected ball and stick sports" combines verified official NEISS product/activity codes; its full weighted composition is given in Supplementary Table S1. CI, confidence interval; CV, coefficient of variation; NEISS, National Electronic Injury Surveillance System.</w:t>
      </w:r>
    </w:p>
    <w:p>
      <w:r>
        <w:br w:type="page"/>
      </w:r>
    </w:p>
    <w:p>
      <w:pPr>
        <w:spacing w:after="120"/>
      </w:pPr>
      <w:r>
        <w:rPr>
          <w:b/>
          <w:sz w:val="21"/>
        </w:rPr>
        <w:t>Table 3. Survey-weighted adjusted model for dislocation versus fracture, 2015-2025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Predictor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Adjusted OR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p value (unadjusted)</w:t>
            </w:r>
          </w:p>
        </w:tc>
        <w:tc>
          <w:tcPr>
            <w:tcW w:type="dxa" w:w="302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17"/>
              </w:rPr>
              <w:t>p value (Holm-adjusted)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Sport group: baseball/softball vs football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0.66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0.51-0.86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0.002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0.008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Sport group: basketball vs football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1.05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0.92-1.20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0.437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0.486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Sport group: other selected ball and stick sports vs football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0.41-0.80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0.001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0.005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Sport group: soccer vs football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0.82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0.59-1.13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0.217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0.486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Sport group: volleyball vs football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1.26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0.91-1.75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0.162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0.486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Age group: 13-15 vs 10-12 years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1.84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1.59-2.14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&lt;0.001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not applicable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Age group: 16-18 vs 10-12 years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4.86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3.94-5.99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&lt;0.001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not applicable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Sex: records coded female vs records coded male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0.47-0.70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&lt;0.001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not applicable</w:t>
            </w:r>
          </w:p>
        </w:tc>
      </w:tr>
      <w:tr>
        <w:tc>
          <w:tcPr>
            <w:tcW w:type="dxa" w:w="3021"/>
          </w:tcPr>
          <w:p>
            <w:pPr>
              <w:jc w:val="left"/>
            </w:pPr>
            <w:r>
              <w:rPr>
                <w:sz w:val="17"/>
              </w:rPr>
              <w:t>Treatment year, per year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0.99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0.96-1.01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0.357</w:t>
            </w:r>
          </w:p>
        </w:tc>
        <w:tc>
          <w:tcPr>
            <w:tcW w:type="dxa" w:w="3021"/>
          </w:tcPr>
          <w:p>
            <w:pPr>
              <w:jc w:val="center"/>
            </w:pPr>
            <w:r>
              <w:rPr>
                <w:sz w:val="17"/>
              </w:rPr>
              <w:t>not applicable</w:t>
            </w:r>
          </w:p>
        </w:tc>
      </w:tr>
    </w:tbl>
    <w:p>
      <w:pPr>
        <w:spacing w:before="120" w:after="280"/>
      </w:pPr>
      <w:r>
        <w:rPr>
          <w:i/>
          <w:sz w:val="16"/>
        </w:rPr>
        <w:t>THE ESTIMAND IS CONDITIONAL: the model estimates the odds that a presenting injury was coded as a dislocation rather than a fracture, among adolescents who presented to an emergency department with one of these two diagnoses. It is a comparison of diagnostic case mix among presenting patients and is not an estimate of injury risk. Estimated using survey::svyglm (binomial family, logit link) with NEISS stratum, primary sampling unit, and sample-weight variables. Reference categories: football, ages 10-12 years, records coded as male, and fracture diagnosis. Treatment year was modeled as a single continuous mean-centered term. Holm adjustment was applied to the family of five sport comparisons against football; age, sex, and year were prespecified adjustment variables and were not included in the multiplicity family. Sport-specific comparisons should be considered exploratory. Analytic n = 16,065; the single record coded unknown/other for sex was excluded to avoid sparse-cell separation. CI, confidence interval; OR, odds ratio.</w:t>
      </w:r>
    </w:p>
    <w:sectPr w:rsidR="00FC693F" w:rsidRPr="0006063C" w:rsidSect="00034616">
      <w:pgSz w:w="16834" w:h="11909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