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 </w:t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Ответ В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 </w:t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Ответ А и В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A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Ответ D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 </w:t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Ответ Е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ter" w:cs="Inter" w:eastAsia="Inter" w:hAnsi="Inte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Inter" w:cs="Inter" w:eastAsia="Inter" w:hAnsi="Inter"/>
                <w:b w:val="1"/>
                <w:sz w:val="28"/>
                <w:szCs w:val="28"/>
                <w:rtl w:val="0"/>
              </w:rPr>
              <w:t xml:space="preserve">Ответ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