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Brokerage &amp; Platform Separation</w:t>
      </w:r>
    </w:p>
    <w:p>
      <w:pPr>
        <w:jc w:val="center"/>
      </w:pPr>
      <w:r>
        <w:rPr>
          <w:color w:val="5F656F"/>
          <w:sz w:val="20"/>
        </w:rPr>
        <w:t>Trading software · future broker business · regulated activity boundaries</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Purpose and business architecture</w:t>
      </w:r>
    </w:p>
    <w:p>
      <w:pPr>
        <w:spacing w:after="180" w:line="293" w:lineRule="auto"/>
        <w:jc w:val="both"/>
      </w:pPr>
      <w:r>
        <w:t>TradingBible's wider roadmap includes trading charting and analysis software, order flow, heatmaps, broker-account integrations, a proprietary trading terminal, and potential brokerage services. The proposed TBC issuance must be analyzed independently from the legal requirements for any broker, exchange, custodian, investment adviser or payment service.</w:t>
      </w:r>
    </w:p>
    <w:p>
      <w:pPr>
        <w:pStyle w:val="Heading1"/>
        <w:spacing w:before="380" w:after="140"/>
      </w:pPr>
      <w:r>
        <w:t>2. Activity-by-activity boundary</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Activity</w:t>
            </w:r>
          </w:p>
        </w:tc>
        <w:tc>
          <w:tcPr>
            <w:tcW w:type="dxa" w:w="3187"/>
            <w:shd w:fill="F1E8D7"/>
          </w:tcPr>
          <w:p>
            <w:r>
              <w:rPr>
                <w:b/>
                <w:color w:val="191C22"/>
              </w:rPr>
              <w:t>Proposed operator / control</w:t>
            </w:r>
          </w:p>
        </w:tc>
        <w:tc>
          <w:tcPr>
            <w:tcW w:type="dxa" w:w="3187"/>
            <w:shd w:fill="F1E8D7"/>
          </w:tcPr>
          <w:p>
            <w:r>
              <w:rPr>
                <w:b/>
                <w:color w:val="191C22"/>
              </w:rPr>
              <w:t>Legal distinction</w:t>
            </w:r>
          </w:p>
        </w:tc>
      </w:tr>
      <w:tr>
        <w:tc>
          <w:tcPr>
            <w:tcW w:type="dxa" w:w="3187"/>
            <w:vAlign w:val="center"/>
          </w:tcPr>
          <w:p>
            <w:r>
              <w:t>Charts, research and educational software</w:t>
            </w:r>
          </w:p>
        </w:tc>
        <w:tc>
          <w:tcPr>
            <w:tcW w:type="dxa" w:w="3187"/>
            <w:vAlign w:val="center"/>
          </w:tcPr>
          <w:p>
            <w:r>
              <w:t>TradingBible technology function</w:t>
            </w:r>
          </w:p>
        </w:tc>
        <w:tc>
          <w:tcPr>
            <w:tcW w:type="dxa" w:w="3187"/>
            <w:vAlign w:val="center"/>
          </w:tcPr>
          <w:p>
            <w:r>
              <w:t>Review advice and market-data licensing</w:t>
            </w:r>
          </w:p>
        </w:tc>
      </w:tr>
      <w:tr>
        <w:tc>
          <w:tcPr>
            <w:tcW w:type="dxa" w:w="3187"/>
            <w:vAlign w:val="center"/>
          </w:tcPr>
          <w:p>
            <w:r>
              <w:t>Broker account synchronization</w:t>
            </w:r>
          </w:p>
        </w:tc>
        <w:tc>
          <w:tcPr>
            <w:tcW w:type="dxa" w:w="3187"/>
            <w:vAlign w:val="center"/>
          </w:tcPr>
          <w:p>
            <w:r>
              <w:t>API integration with third parties</w:t>
            </w:r>
          </w:p>
        </w:tc>
        <w:tc>
          <w:tcPr>
            <w:tcW w:type="dxa" w:w="3187"/>
            <w:vAlign w:val="center"/>
          </w:tcPr>
          <w:p>
            <w:r>
              <w:t>Requires provider authorization and secure consent</w:t>
            </w:r>
          </w:p>
        </w:tc>
      </w:tr>
      <w:tr>
        <w:tc>
          <w:tcPr>
            <w:tcW w:type="dxa" w:w="3187"/>
            <w:vAlign w:val="center"/>
          </w:tcPr>
          <w:p>
            <w:r>
              <w:t>Execution and client orders</w:t>
            </w:r>
          </w:p>
        </w:tc>
        <w:tc>
          <w:tcPr>
            <w:tcW w:type="dxa" w:w="3187"/>
            <w:vAlign w:val="center"/>
          </w:tcPr>
          <w:p>
            <w:r>
              <w:t>Licensed broker or properly authorized entity</w:t>
            </w:r>
          </w:p>
        </w:tc>
        <w:tc>
          <w:tcPr>
            <w:tcW w:type="dxa" w:w="3187"/>
            <w:vAlign w:val="center"/>
          </w:tcPr>
          <w:p>
            <w:r>
              <w:t>Cannot be assumed from LLC registration</w:t>
            </w:r>
          </w:p>
        </w:tc>
      </w:tr>
      <w:tr>
        <w:tc>
          <w:tcPr>
            <w:tcW w:type="dxa" w:w="3187"/>
            <w:vAlign w:val="center"/>
          </w:tcPr>
          <w:p>
            <w:r>
              <w:t>Customer deposits and withdrawals</w:t>
            </w:r>
          </w:p>
        </w:tc>
        <w:tc>
          <w:tcPr>
            <w:tcW w:type="dxa" w:w="3187"/>
            <w:vAlign w:val="center"/>
          </w:tcPr>
          <w:p>
            <w:r>
              <w:t>Approved financial or custody provider</w:t>
            </w:r>
          </w:p>
        </w:tc>
        <w:tc>
          <w:tcPr>
            <w:tcW w:type="dxa" w:w="3187"/>
            <w:vAlign w:val="center"/>
          </w:tcPr>
          <w:p>
            <w:r>
              <w:t>Separate customer-money protections</w:t>
            </w:r>
          </w:p>
        </w:tc>
      </w:tr>
      <w:tr>
        <w:tc>
          <w:tcPr>
            <w:tcW w:type="dxa" w:w="3187"/>
            <w:vAlign w:val="center"/>
          </w:tcPr>
          <w:p>
            <w:r>
              <w:t>Forex, metals, stocks and derivatives brokerage</w:t>
            </w:r>
          </w:p>
        </w:tc>
        <w:tc>
          <w:tcPr>
            <w:tcW w:type="dxa" w:w="3187"/>
            <w:vAlign w:val="center"/>
          </w:tcPr>
          <w:p>
            <w:r>
              <w:t>Future regulated brokerage business</w:t>
            </w:r>
          </w:p>
        </w:tc>
        <w:tc>
          <w:tcPr>
            <w:tcW w:type="dxa" w:w="3187"/>
            <w:vAlign w:val="center"/>
          </w:tcPr>
          <w:p>
            <w:r>
              <w:t>Jurisdiction-specific permissions and capital</w:t>
            </w:r>
          </w:p>
        </w:tc>
      </w:tr>
      <w:tr>
        <w:tc>
          <w:tcPr>
            <w:tcW w:type="dxa" w:w="3187"/>
            <w:vAlign w:val="center"/>
          </w:tcPr>
          <w:p>
            <w:r>
              <w:t>Crypto spot and exchange services</w:t>
            </w:r>
          </w:p>
        </w:tc>
        <w:tc>
          <w:tcPr>
            <w:tcW w:type="dxa" w:w="3187"/>
            <w:vAlign w:val="center"/>
          </w:tcPr>
          <w:p>
            <w:r>
              <w:t>Future regulated service</w:t>
            </w:r>
          </w:p>
        </w:tc>
        <w:tc>
          <w:tcPr>
            <w:tcW w:type="dxa" w:w="3187"/>
            <w:vAlign w:val="center"/>
          </w:tcPr>
          <w:p>
            <w:r>
              <w:t>Separate digital-asset registration/licensing review</w:t>
            </w:r>
          </w:p>
        </w:tc>
      </w:tr>
      <w:tr>
        <w:tc>
          <w:tcPr>
            <w:tcW w:type="dxa" w:w="3187"/>
            <w:vAlign w:val="center"/>
          </w:tcPr>
          <w:p>
            <w:r>
              <w:t>TBC issuance and distribution</w:t>
            </w:r>
          </w:p>
        </w:tc>
        <w:tc>
          <w:tcPr>
            <w:tcW w:type="dxa" w:w="3187"/>
            <w:vAlign w:val="center"/>
          </w:tcPr>
          <w:p>
            <w:r>
              <w:t>Token issuer workstream</w:t>
            </w:r>
          </w:p>
        </w:tc>
        <w:tc>
          <w:tcPr>
            <w:tcW w:type="dxa" w:w="3187"/>
            <w:vAlign w:val="center"/>
          </w:tcPr>
          <w:p>
            <w:r>
              <w:t>Offering and token-specific legal assessment</w:t>
            </w:r>
          </w:p>
        </w:tc>
      </w:tr>
    </w:tbl>
    <w:p>
      <w:pPr>
        <w:spacing w:after="20"/>
      </w:pPr>
    </w:p>
    <w:p>
      <w:pPr>
        <w:pStyle w:val="Heading1"/>
        <w:spacing w:before="380" w:after="140"/>
      </w:pPr>
      <w:r>
        <w:t>3. Entity and accounting separation</w:t>
      </w:r>
    </w:p>
    <w:p>
      <w:pPr>
        <w:spacing w:after="180" w:line="293" w:lineRule="auto"/>
        <w:jc w:val="both"/>
      </w:pPr>
      <w:r>
        <w:t>Counsel should decide whether regulated brokerage activities require one or more separately licensed subsidiaries or affiliates. Separate bank accounts, books, personnel authorizations, customer contracts, risk management and capital should be maintained as required by the relevant regime.</w:t>
      </w:r>
    </w:p>
    <w:p>
      <w:pPr>
        <w:spacing w:after="180" w:line="293" w:lineRule="auto"/>
        <w:jc w:val="both"/>
      </w:pPr>
      <w:r>
        <w:t>TBC sale proceeds must not be represented as protected brokerage client deposits or commingled with segregated customer trading funds. Holding TBC should not be advertised as providing broker membership, guaranteed trading privileges or investment returns unless those rights are real and lawfully offered.</w:t>
      </w:r>
    </w:p>
    <w:p>
      <w:pPr>
        <w:pStyle w:val="Heading1"/>
        <w:spacing w:before="380" w:after="140"/>
      </w:pPr>
      <w:r>
        <w:t>4. Infrastructure and API controls</w:t>
      </w:r>
    </w:p>
    <w:p>
      <w:pPr>
        <w:spacing w:after="180" w:line="293" w:lineRule="auto"/>
        <w:jc w:val="both"/>
      </w:pPr>
      <w:r>
        <w:t>Any MT4/MT5 or other bridge must be supported by lawful broker/server licensing, permissioned APIs, identity and account consent, logging, secure secrets management, transaction controls and audit trails. A self-hosted MT_BRIDGE_URL or token does not confer brokerage authorization.</w:t>
      </w:r>
    </w:p>
    <w:p>
      <w:pPr>
        <w:pStyle w:val="Heading1"/>
        <w:spacing w:before="380" w:after="140"/>
      </w:pPr>
      <w:r>
        <w:t>5. Market data and public representations</w:t>
      </w:r>
    </w:p>
    <w:p>
      <w:pPr>
        <w:spacing w:after="180" w:line="293" w:lineRule="auto"/>
        <w:jc w:val="both"/>
      </w:pPr>
      <w:r>
        <w:t>Real-time pricing, chart redistribution, order-flow data and third-party trademarks may require exchange, venue or vendor licensing. The company should distinguish simulation, analytics, introducing arrangements, white-label services and actual execution services in product descriptions.</w:t>
      </w:r>
    </w:p>
    <w:p>
      <w:pPr>
        <w:pStyle w:val="Heading1"/>
        <w:spacing w:before="380" w:after="140"/>
      </w:pPr>
      <w:r>
        <w:t>6. Roadmap and launch gates</w:t>
      </w:r>
    </w:p>
    <w:p>
      <w:pPr>
        <w:spacing w:after="180" w:line="293" w:lineRule="auto"/>
        <w:jc w:val="both"/>
      </w:pPr>
      <w:r>
        <w:t>The issuer may pursue software launch, token prototype, permitted token distribution and regulated brokerage development on separate schedules. No business line should be described as licensed, insured, operational or approved without contemporaneous evidence.</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Legal entity map and licensing strategy</w:t>
            </w:r>
          </w:p>
        </w:tc>
        <w:tc>
          <w:tcPr>
            <w:tcW w:type="dxa" w:w="3187"/>
            <w:vAlign w:val="center"/>
          </w:tcPr>
          <w:p>
            <w:r>
              <w:t>Corporate / regulatory counsel</w:t>
            </w:r>
          </w:p>
        </w:tc>
        <w:tc>
          <w:tcPr>
            <w:tcW w:type="dxa" w:w="3187"/>
            <w:vAlign w:val="center"/>
          </w:tcPr>
          <w:p>
            <w:r>
              <w:t>________________________________</w:t>
            </w:r>
          </w:p>
        </w:tc>
      </w:tr>
      <w:tr>
        <w:tc>
          <w:tcPr>
            <w:tcW w:type="dxa" w:w="3187"/>
            <w:vAlign w:val="center"/>
          </w:tcPr>
          <w:p>
            <w:r>
              <w:t>Software versus regulated service inventory</w:t>
            </w:r>
          </w:p>
        </w:tc>
        <w:tc>
          <w:tcPr>
            <w:tcW w:type="dxa" w:w="3187"/>
            <w:vAlign w:val="center"/>
          </w:tcPr>
          <w:p>
            <w:r>
              <w:t>Product / legal</w:t>
            </w:r>
          </w:p>
        </w:tc>
        <w:tc>
          <w:tcPr>
            <w:tcW w:type="dxa" w:w="3187"/>
            <w:vAlign w:val="center"/>
          </w:tcPr>
          <w:p>
            <w:r>
              <w:t>________________________________</w:t>
            </w:r>
          </w:p>
        </w:tc>
      </w:tr>
      <w:tr>
        <w:tc>
          <w:tcPr>
            <w:tcW w:type="dxa" w:w="3187"/>
            <w:vAlign w:val="center"/>
          </w:tcPr>
          <w:p>
            <w:r>
              <w:t>Client money and custody separation</w:t>
            </w:r>
          </w:p>
        </w:tc>
        <w:tc>
          <w:tcPr>
            <w:tcW w:type="dxa" w:w="3187"/>
            <w:vAlign w:val="center"/>
          </w:tcPr>
          <w:p>
            <w:r>
              <w:t>Finance / compliance</w:t>
            </w:r>
          </w:p>
        </w:tc>
        <w:tc>
          <w:tcPr>
            <w:tcW w:type="dxa" w:w="3187"/>
            <w:vAlign w:val="center"/>
          </w:tcPr>
          <w:p>
            <w:r>
              <w:t>________________________________</w:t>
            </w:r>
          </w:p>
        </w:tc>
      </w:tr>
      <w:tr>
        <w:tc>
          <w:tcPr>
            <w:tcW w:type="dxa" w:w="3187"/>
            <w:vAlign w:val="center"/>
          </w:tcPr>
          <w:p>
            <w:r>
              <w:t>Broker integration agreements and market-data rights</w:t>
            </w:r>
          </w:p>
        </w:tc>
        <w:tc>
          <w:tcPr>
            <w:tcW w:type="dxa" w:w="3187"/>
            <w:vAlign w:val="center"/>
          </w:tcPr>
          <w:p>
            <w:r>
              <w:t>Technology / legal</w:t>
            </w:r>
          </w:p>
        </w:tc>
        <w:tc>
          <w:tcPr>
            <w:tcW w:type="dxa" w:w="3187"/>
            <w:vAlign w:val="center"/>
          </w:tcPr>
          <w:p>
            <w:r>
              <w:t>________________________________</w:t>
            </w:r>
          </w:p>
        </w:tc>
      </w:tr>
      <w:tr>
        <w:tc>
          <w:tcPr>
            <w:tcW w:type="dxa" w:w="3187"/>
            <w:vAlign w:val="center"/>
          </w:tcPr>
          <w:p>
            <w:r>
              <w:t>Website claims and go-live evidence</w:t>
            </w:r>
          </w:p>
        </w:tc>
        <w:tc>
          <w:tcPr>
            <w:tcW w:type="dxa" w:w="3187"/>
            <w:vAlign w:val="center"/>
          </w:tcPr>
          <w:p>
            <w:r>
              <w:t>Marketing / compliance</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05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writeProtection w:recommended="1"/>
  <w:zoom w:val="bestFit"/>
  <w:proofState w:spelling="clean" w:grammar="clean"/>
  <w:documentProtection w:edit="readOnly" w:enforcement="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