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Website Purchase, Custody &amp; Refunds</w:t>
      </w:r>
    </w:p>
    <w:p>
      <w:pPr>
        <w:jc w:val="center"/>
      </w:pPr>
      <w:r>
        <w:rPr>
          <w:color w:val="5F656F"/>
          <w:sz w:val="20"/>
        </w:rPr>
        <w:t>Proposed transaction journey · control architecture</w:t>
      </w:r>
    </w:p>
    <w:p>
      <w:pPr>
        <w:jc w:val="center"/>
      </w:pPr>
      <w:r>
        <w:rPr>
          <w:color w:val="946C25"/>
          <w:sz w:val="16"/>
        </w:rPr>
        <w:t>TRADINGBIBLE.APP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Distribution channel</w:t>
      </w:r>
    </w:p>
    <w:p>
      <w:pPr>
        <w:spacing w:after="180" w:line="293" w:lineRule="auto"/>
        <w:jc w:val="both"/>
      </w:pPr>
      <w:r>
        <w:t>The proposed distribution channel is tradingbible.app. A website being operational does not establish that token sales are authorized or active. Any purchase function must remain disabled until the issuer has completed the applicable legal, security, payment and launch controls.</w:t>
      </w:r>
    </w:p>
    <w:p>
      <w:pPr>
        <w:pStyle w:val="Heading1"/>
        <w:spacing w:before="380" w:after="140"/>
      </w:pPr>
      <w:r>
        <w:t>2. Proposed purchaser journey</w:t>
      </w:r>
    </w:p>
    <w:p>
      <w:pPr>
        <w:spacing w:after="180" w:line="293" w:lineRule="auto"/>
        <w:jc w:val="both"/>
      </w:pPr>
      <w:r>
        <w:t>1. Visitor receives current whitepaper, risk disclosures, eligible-country information and terms before making a purchase decision.</w:t>
      </w:r>
    </w:p>
    <w:p>
      <w:pPr>
        <w:spacing w:after="180" w:line="293" w:lineRule="auto"/>
        <w:jc w:val="both"/>
      </w:pPr>
      <w:r>
        <w:t>2. Purchaser creates an account and completes identity, age, beneficial-owner and sanctions checks appropriate to the jurisdiction and risk profile.</w:t>
      </w:r>
    </w:p>
    <w:p>
      <w:pPr>
        <w:spacing w:after="180" w:line="293" w:lineRule="auto"/>
        <w:jc w:val="both"/>
      </w:pPr>
      <w:r>
        <w:t>3. System determines eligibility, including residency, location, customer classification and applicable offering restrictions.</w:t>
      </w:r>
    </w:p>
    <w:p>
      <w:pPr>
        <w:spacing w:after="180" w:line="293" w:lineRule="auto"/>
        <w:jc w:val="both"/>
      </w:pPr>
      <w:r>
        <w:t>4. Purchaser reviews price, fees, amount, delivery conditions, cancellation rights and custody arrangement before accepting terms.</w:t>
      </w:r>
    </w:p>
    <w:p>
      <w:pPr>
        <w:spacing w:after="180" w:line="293" w:lineRule="auto"/>
        <w:jc w:val="both"/>
      </w:pPr>
      <w:r>
        <w:t>5. Payment is initiated through an approved provider or supported on-chain method; the issuer records transaction and reconciliation references.</w:t>
      </w:r>
    </w:p>
    <w:p>
      <w:pPr>
        <w:spacing w:after="180" w:line="293" w:lineRule="auto"/>
        <w:jc w:val="both"/>
      </w:pPr>
      <w:r>
        <w:t>6. After final settlement and compliance approval, TBC is delivered to an eligible wallet or held under an explicitly agreed custody arrangement.</w:t>
      </w:r>
    </w:p>
    <w:p>
      <w:pPr>
        <w:spacing w:after="180" w:line="293" w:lineRule="auto"/>
        <w:jc w:val="both"/>
      </w:pPr>
      <w:r>
        <w:t>7. Customer receives confirmation, records of payment and token delivery, and a documented complaint or refund channel.</w:t>
      </w:r>
    </w:p>
    <w:p>
      <w:pPr>
        <w:pStyle w:val="Heading1"/>
        <w:spacing w:before="380" w:after="140"/>
      </w:pPr>
      <w:r>
        <w:t>3. Payment methods and provider selection</w:t>
      </w:r>
    </w:p>
    <w:p>
      <w:pPr>
        <w:spacing w:after="180" w:line="293" w:lineRule="auto"/>
        <w:jc w:val="both"/>
      </w:pPr>
      <w:r>
        <w:t>Fiat card, bank transfer, stablecoin and other digital-asset payments are possible technical options, not confirmed accepted methods. Each requires provider due diligence, lawful processing, chargeback handling, sanctions screening, settlement timing, fees and currency conversion disclosures.</w:t>
      </w:r>
    </w:p>
    <w:p>
      <w:pPr>
        <w:spacing w:after="180" w:line="293" w:lineRule="auto"/>
        <w:jc w:val="both"/>
      </w:pPr>
      <w:r>
        <w:t>Do not describe an escrow account or regulated custody arrangement unless the relevant agreement, account ownership, permissions and control mechanisms actually exist.</w:t>
      </w:r>
    </w:p>
    <w:p>
      <w:pPr>
        <w:pStyle w:val="Heading1"/>
        <w:spacing w:before="380" w:after="140"/>
      </w:pPr>
      <w:r>
        <w:t>4. Custody and wallet security</w:t>
      </w:r>
    </w:p>
    <w:p>
      <w:pPr>
        <w:spacing w:after="180" w:line="293" w:lineRule="auto"/>
        <w:jc w:val="both"/>
      </w:pPr>
      <w:r>
        <w:t>The issuer must decide between self-custody delivery and third-party custody, and must document key management, multisignature authorization, withdrawal limits, recovery procedures, reconciliation, incident escalation and liability allocation. Customer assets must not be treated as unrestricted company treasury assets.</w:t>
      </w:r>
    </w:p>
    <w:p>
      <w:pPr>
        <w:pStyle w:val="Heading1"/>
        <w:spacing w:before="380" w:after="140"/>
      </w:pPr>
      <w:r>
        <w:t>5. Refunds, failures and disputes</w:t>
      </w:r>
    </w:p>
    <w:p>
      <w:pPr>
        <w:spacing w:after="180" w:line="293" w:lineRule="auto"/>
        <w:jc w:val="both"/>
      </w:pPr>
      <w:r>
        <w:t>The refund policy must identify when an order becomes final, treatment of rejected KYC, payment failure, overpayment, underpayment, duplicate transfers, network outages, misdirected wallets, chargebacks and legal cancellation rights. A blanket 'no refunds' clause may be ineffective where mandatory consumer law applies.</w:t>
      </w:r>
    </w:p>
    <w:p>
      <w:pPr>
        <w:spacing w:after="180" w:line="293" w:lineRule="auto"/>
        <w:jc w:val="both"/>
      </w:pPr>
      <w:r>
        <w:t>Where delivery fails or a purchaser is ineligible, the issuer should follow a documented remediation process, including tracing the original payment route, sanctions review, transaction fees and time-bound communications.</w:t>
      </w:r>
    </w:p>
    <w:p>
      <w:pPr>
        <w:pStyle w:val="Heading1"/>
        <w:spacing w:before="380" w:after="140"/>
      </w:pPr>
      <w:r>
        <w:t>6. Records and safeguards</w:t>
      </w:r>
    </w:p>
    <w:p>
      <w:pPr>
        <w:spacing w:after="180" w:line="293" w:lineRule="auto"/>
        <w:jc w:val="both"/>
      </w:pPr>
      <w:r>
        <w:t>Retain time-stamped terms acceptance, version of disclosures shown, eligibility decision, payment authorization, settlement, wallet delivery, refunds, customer correspondence and incident records subject to applicable privacy and retention rules.</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Approved payment methods and provider contracts</w:t>
            </w:r>
          </w:p>
        </w:tc>
        <w:tc>
          <w:tcPr>
            <w:tcW w:type="dxa" w:w="3187"/>
            <w:vAlign w:val="center"/>
          </w:tcPr>
          <w:p>
            <w:r>
              <w:t>Finance / legal</w:t>
            </w:r>
          </w:p>
        </w:tc>
        <w:tc>
          <w:tcPr>
            <w:tcW w:type="dxa" w:w="3187"/>
            <w:vAlign w:val="center"/>
          </w:tcPr>
          <w:p>
            <w:r>
              <w:t>________________________________</w:t>
            </w:r>
          </w:p>
        </w:tc>
      </w:tr>
      <w:tr>
        <w:tc>
          <w:tcPr>
            <w:tcW w:type="dxa" w:w="3187"/>
            <w:vAlign w:val="center"/>
          </w:tcPr>
          <w:p>
            <w:r>
              <w:t>Custody model and wallet controller</w:t>
            </w:r>
          </w:p>
        </w:tc>
        <w:tc>
          <w:tcPr>
            <w:tcW w:type="dxa" w:w="3187"/>
            <w:vAlign w:val="center"/>
          </w:tcPr>
          <w:p>
            <w:r>
              <w:t>Security / legal</w:t>
            </w:r>
          </w:p>
        </w:tc>
        <w:tc>
          <w:tcPr>
            <w:tcW w:type="dxa" w:w="3187"/>
            <w:vAlign w:val="center"/>
          </w:tcPr>
          <w:p>
            <w:r>
              <w:t>________________________________</w:t>
            </w:r>
          </w:p>
        </w:tc>
      </w:tr>
      <w:tr>
        <w:tc>
          <w:tcPr>
            <w:tcW w:type="dxa" w:w="3187"/>
            <w:vAlign w:val="center"/>
          </w:tcPr>
          <w:p>
            <w:r>
              <w:t>Jurisdiction gating and KYC vendor</w:t>
            </w:r>
          </w:p>
        </w:tc>
        <w:tc>
          <w:tcPr>
            <w:tcW w:type="dxa" w:w="3187"/>
            <w:vAlign w:val="center"/>
          </w:tcPr>
          <w:p>
            <w:r>
              <w:t>Compliance</w:t>
            </w:r>
          </w:p>
        </w:tc>
        <w:tc>
          <w:tcPr>
            <w:tcW w:type="dxa" w:w="3187"/>
            <w:vAlign w:val="center"/>
          </w:tcPr>
          <w:p>
            <w:r>
              <w:t>________________________________</w:t>
            </w:r>
          </w:p>
        </w:tc>
      </w:tr>
      <w:tr>
        <w:tc>
          <w:tcPr>
            <w:tcW w:type="dxa" w:w="3187"/>
            <w:vAlign w:val="center"/>
          </w:tcPr>
          <w:p>
            <w:r>
              <w:t>Final refund triggers and time limits</w:t>
            </w:r>
          </w:p>
        </w:tc>
        <w:tc>
          <w:tcPr>
            <w:tcW w:type="dxa" w:w="3187"/>
            <w:vAlign w:val="center"/>
          </w:tcPr>
          <w:p>
            <w:r>
              <w:t>Legal / operations</w:t>
            </w:r>
          </w:p>
        </w:tc>
        <w:tc>
          <w:tcPr>
            <w:tcW w:type="dxa" w:w="3187"/>
            <w:vAlign w:val="center"/>
          </w:tcPr>
          <w:p>
            <w:r>
              <w:t>________________________________</w:t>
            </w:r>
          </w:p>
        </w:tc>
      </w:tr>
      <w:tr>
        <w:tc>
          <w:tcPr>
            <w:tcW w:type="dxa" w:w="3187"/>
            <w:vAlign w:val="center"/>
          </w:tcPr>
          <w:p>
            <w:r>
              <w:t>End-to-end payment and delivery testing</w:t>
            </w:r>
          </w:p>
        </w:tc>
        <w:tc>
          <w:tcPr>
            <w:tcW w:type="dxa" w:w="3187"/>
            <w:vAlign w:val="center"/>
          </w:tcPr>
          <w:p>
            <w:r>
              <w:t>Engineering / audit</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03  •  tradingbible.app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writeProtection w:recommended="1"/>
  <w:zoom w:val="bestFit"/>
  <w:proofState w:spelling="clean" w:grammar="clean"/>
  <w:documentProtection w:edit="readOnly" w:enforcement="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