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353312" cy="994479"/>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353312" cy="994479"/>
                    </a:xfrm>
                    <a:prstGeom prst="rect"/>
                  </pic:spPr>
                </pic:pic>
              </a:graphicData>
            </a:graphic>
          </wp:inline>
        </w:drawing>
      </w:r>
    </w:p>
    <w:p>
      <w:pPr>
        <w:jc w:val="center"/>
      </w:pPr>
      <w:r>
        <w:rPr>
          <w:rFonts w:ascii="Aptos Display" w:hAnsi="Aptos Display"/>
          <w:b/>
          <w:color w:val="946C25"/>
          <w:sz w:val="24"/>
        </w:rPr>
        <w:t>TRADINGBIBLE LLC</w:t>
      </w:r>
    </w:p>
    <w:p>
      <w:pPr>
        <w:jc w:val="center"/>
      </w:pPr>
      <w:r>
        <w:rPr>
          <w:rFonts w:ascii="Aptos Display" w:hAnsi="Aptos Display"/>
          <w:b/>
          <w:color w:val="191C22"/>
          <w:sz w:val="42"/>
        </w:rPr>
        <w:t>TBC Supply, Allocation &amp; Vesting</w:t>
      </w:r>
    </w:p>
    <w:p>
      <w:pPr>
        <w:jc w:val="center"/>
      </w:pPr>
      <w:r>
        <w:rPr>
          <w:color w:val="5F656F"/>
          <w:sz w:val="20"/>
        </w:rPr>
        <w:t>Economic framework · proposed distribution controls</w:t>
      </w:r>
    </w:p>
    <w:p>
      <w:pPr>
        <w:jc w:val="center"/>
      </w:pPr>
      <w:r>
        <w:rPr>
          <w:color w:val="946C25"/>
          <w:sz w:val="16"/>
        </w:rPr>
        <w:t>TRADINGBIBLE.APP   •   DELAWARE, UNITED STATES   •   OCTOBER 2026</w:t>
      </w:r>
    </w:p>
    <w:p/>
    <w:p>
      <w:pPr>
        <w:spacing w:after="180" w:line="293" w:lineRule="auto"/>
        <w:jc w:val="both"/>
      </w:pPr>
      <w:r>
        <w:t>Issuer: TradingBible LLC, a Delaware limited liability company. Sole member and manager: Malik Nlem (ownership represented by management; confirm against signed company records). Proposed asset: TradingBible Coin (TBC). Planned maximum supply: 100,000,000 TBC.</w:t>
      </w:r>
    </w:p>
    <w:p>
      <w:pPr>
        <w:pStyle w:val="Heading1"/>
        <w:spacing w:before="380" w:after="140"/>
      </w:pPr>
      <w:r>
        <w:t>1. Supply policy</w:t>
      </w:r>
    </w:p>
    <w:p>
      <w:pPr>
        <w:spacing w:after="180" w:line="293" w:lineRule="auto"/>
        <w:jc w:val="both"/>
      </w:pPr>
      <w:r>
        <w:t>The proposed fixed maximum supply is 100,000,000 TBC. This is a maximum supply design parameter, not evidence that any tokens have been issued. The issuer should maintain a signed supply ledger identifying mint authority, contract addresses, circulating balances, locked allocations, burned balances and bridge liabilities.</w:t>
      </w:r>
    </w:p>
    <w:p>
      <w:pPr>
        <w:pStyle w:val="Heading1"/>
        <w:spacing w:before="380" w:after="140"/>
      </w:pPr>
      <w:r>
        <w:t>2. Illustrative allocation for discussion</w:t>
      </w:r>
    </w:p>
    <w:p>
      <w:pPr>
        <w:spacing w:after="180" w:line="293" w:lineRule="auto"/>
        <w:jc w:val="both"/>
      </w:pPr>
      <w:r>
        <w:t>The following percentages are an illustrative scenario for management and legal review only. They are not approved allocations, sale commitments or representations of existing ownership.</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Category</w:t>
            </w:r>
          </w:p>
        </w:tc>
        <w:tc>
          <w:tcPr>
            <w:tcW w:type="dxa" w:w="3187"/>
            <w:shd w:fill="F1E8D7"/>
          </w:tcPr>
          <w:p>
            <w:r>
              <w:rPr>
                <w:b/>
                <w:color w:val="191C22"/>
              </w:rPr>
              <w:t>Illustrative share</w:t>
            </w:r>
          </w:p>
        </w:tc>
        <w:tc>
          <w:tcPr>
            <w:tcW w:type="dxa" w:w="3187"/>
            <w:shd w:fill="F1E8D7"/>
          </w:tcPr>
          <w:p>
            <w:r>
              <w:rPr>
                <w:b/>
                <w:color w:val="191C22"/>
              </w:rPr>
              <w:t>Illustrative TBC</w:t>
            </w:r>
          </w:p>
        </w:tc>
      </w:tr>
      <w:tr>
        <w:tc>
          <w:tcPr>
            <w:tcW w:type="dxa" w:w="3187"/>
            <w:vAlign w:val="center"/>
          </w:tcPr>
          <w:p>
            <w:r>
              <w:t>Community and ecosystem incentives</w:t>
            </w:r>
          </w:p>
        </w:tc>
        <w:tc>
          <w:tcPr>
            <w:tcW w:type="dxa" w:w="3187"/>
            <w:vAlign w:val="center"/>
          </w:tcPr>
          <w:p>
            <w:r>
              <w:t>30%</w:t>
            </w:r>
          </w:p>
        </w:tc>
        <w:tc>
          <w:tcPr>
            <w:tcW w:type="dxa" w:w="3187"/>
            <w:vAlign w:val="center"/>
          </w:tcPr>
          <w:p>
            <w:r>
              <w:t>30,000,000</w:t>
            </w:r>
          </w:p>
        </w:tc>
      </w:tr>
      <w:tr>
        <w:tc>
          <w:tcPr>
            <w:tcW w:type="dxa" w:w="3187"/>
            <w:vAlign w:val="center"/>
          </w:tcPr>
          <w:p>
            <w:r>
              <w:t>Public or permitted distribution</w:t>
            </w:r>
          </w:p>
        </w:tc>
        <w:tc>
          <w:tcPr>
            <w:tcW w:type="dxa" w:w="3187"/>
            <w:vAlign w:val="center"/>
          </w:tcPr>
          <w:p>
            <w:r>
              <w:t>20%</w:t>
            </w:r>
          </w:p>
        </w:tc>
        <w:tc>
          <w:tcPr>
            <w:tcW w:type="dxa" w:w="3187"/>
            <w:vAlign w:val="center"/>
          </w:tcPr>
          <w:p>
            <w:r>
              <w:t>20,000,000</w:t>
            </w:r>
          </w:p>
        </w:tc>
      </w:tr>
      <w:tr>
        <w:tc>
          <w:tcPr>
            <w:tcW w:type="dxa" w:w="3187"/>
            <w:vAlign w:val="center"/>
          </w:tcPr>
          <w:p>
            <w:r>
              <w:t>Development and operations</w:t>
            </w:r>
          </w:p>
        </w:tc>
        <w:tc>
          <w:tcPr>
            <w:tcW w:type="dxa" w:w="3187"/>
            <w:vAlign w:val="center"/>
          </w:tcPr>
          <w:p>
            <w:r>
              <w:t>20%</w:t>
            </w:r>
          </w:p>
        </w:tc>
        <w:tc>
          <w:tcPr>
            <w:tcW w:type="dxa" w:w="3187"/>
            <w:vAlign w:val="center"/>
          </w:tcPr>
          <w:p>
            <w:r>
              <w:t>20,000,000</w:t>
            </w:r>
          </w:p>
        </w:tc>
      </w:tr>
      <w:tr>
        <w:tc>
          <w:tcPr>
            <w:tcW w:type="dxa" w:w="3187"/>
            <w:vAlign w:val="center"/>
          </w:tcPr>
          <w:p>
            <w:r>
              <w:t>Treasury and reserves</w:t>
            </w:r>
          </w:p>
        </w:tc>
        <w:tc>
          <w:tcPr>
            <w:tcW w:type="dxa" w:w="3187"/>
            <w:vAlign w:val="center"/>
          </w:tcPr>
          <w:p>
            <w:r>
              <w:t>15%</w:t>
            </w:r>
          </w:p>
        </w:tc>
        <w:tc>
          <w:tcPr>
            <w:tcW w:type="dxa" w:w="3187"/>
            <w:vAlign w:val="center"/>
          </w:tcPr>
          <w:p>
            <w:r>
              <w:t>15,000,000</w:t>
            </w:r>
          </w:p>
        </w:tc>
      </w:tr>
      <w:tr>
        <w:tc>
          <w:tcPr>
            <w:tcW w:type="dxa" w:w="3187"/>
            <w:vAlign w:val="center"/>
          </w:tcPr>
          <w:p>
            <w:r>
              <w:t>Team and contributors</w:t>
            </w:r>
          </w:p>
        </w:tc>
        <w:tc>
          <w:tcPr>
            <w:tcW w:type="dxa" w:w="3187"/>
            <w:vAlign w:val="center"/>
          </w:tcPr>
          <w:p>
            <w:r>
              <w:t>10%</w:t>
            </w:r>
          </w:p>
        </w:tc>
        <w:tc>
          <w:tcPr>
            <w:tcW w:type="dxa" w:w="3187"/>
            <w:vAlign w:val="center"/>
          </w:tcPr>
          <w:p>
            <w:r>
              <w:t>10,000,000</w:t>
            </w:r>
          </w:p>
        </w:tc>
      </w:tr>
      <w:tr>
        <w:tc>
          <w:tcPr>
            <w:tcW w:type="dxa" w:w="3187"/>
            <w:vAlign w:val="center"/>
          </w:tcPr>
          <w:p>
            <w:r>
              <w:t>Partnerships and liquidity planning</w:t>
            </w:r>
          </w:p>
        </w:tc>
        <w:tc>
          <w:tcPr>
            <w:tcW w:type="dxa" w:w="3187"/>
            <w:vAlign w:val="center"/>
          </w:tcPr>
          <w:p>
            <w:r>
              <w:t>5%</w:t>
            </w:r>
          </w:p>
        </w:tc>
        <w:tc>
          <w:tcPr>
            <w:tcW w:type="dxa" w:w="3187"/>
            <w:vAlign w:val="center"/>
          </w:tcPr>
          <w:p>
            <w:r>
              <w:t>5,000,000</w:t>
            </w:r>
          </w:p>
        </w:tc>
      </w:tr>
      <w:tr>
        <w:tc>
          <w:tcPr>
            <w:tcW w:type="dxa" w:w="3187"/>
            <w:vAlign w:val="center"/>
          </w:tcPr>
          <w:p>
            <w:r>
              <w:t>TOTAL</w:t>
            </w:r>
          </w:p>
        </w:tc>
        <w:tc>
          <w:tcPr>
            <w:tcW w:type="dxa" w:w="3187"/>
            <w:vAlign w:val="center"/>
          </w:tcPr>
          <w:p>
            <w:r>
              <w:t>100%</w:t>
            </w:r>
          </w:p>
        </w:tc>
        <w:tc>
          <w:tcPr>
            <w:tcW w:type="dxa" w:w="3187"/>
            <w:vAlign w:val="center"/>
          </w:tcPr>
          <w:p>
            <w:r>
              <w:t>100,000,000</w:t>
            </w:r>
          </w:p>
        </w:tc>
      </w:tr>
    </w:tbl>
    <w:p>
      <w:pPr>
        <w:spacing w:after="20"/>
      </w:pPr>
    </w:p>
    <w:p>
      <w:pPr>
        <w:pStyle w:val="Heading1"/>
        <w:spacing w:before="380" w:after="140"/>
      </w:pPr>
      <w:r>
        <w:t>3. Vesting framework for consideration</w:t>
      </w:r>
    </w:p>
    <w:p>
      <w:pPr>
        <w:spacing w:after="180" w:line="293" w:lineRule="auto"/>
        <w:jc w:val="both"/>
      </w:pPr>
      <w:r>
        <w:t>Team and contributor allocations could be subject to a 12-month cliff followed by 36 months of monthly vesting. Treasury allocations could require documented dual approval and periodic public reporting. Partnership allocations should be governed by written milestones and clawback provisions where lawful. These are options, not established terms.</w:t>
      </w:r>
    </w:p>
    <w:p>
      <w:pPr>
        <w:spacing w:after="180" w:line="293" w:lineRule="auto"/>
        <w:jc w:val="both"/>
      </w:pPr>
      <w:r>
        <w:t>No discretionary acceleration, related-party transfer, token lending or market-making activity should occur without written authority, conflicts review and disclosure assessment.</w:t>
      </w:r>
    </w:p>
    <w:p>
      <w:pPr>
        <w:pStyle w:val="Heading1"/>
        <w:spacing w:before="380" w:after="140"/>
      </w:pPr>
      <w:r>
        <w:t>4. Sale economics and disclosure</w:t>
      </w:r>
    </w:p>
    <w:p>
      <w:pPr>
        <w:spacing w:after="180" w:line="293" w:lineRule="auto"/>
        <w:jc w:val="both"/>
      </w:pPr>
      <w:r>
        <w:t>Before any offering, management must decide the price or pricing mechanism, accepted currencies, minimum and maximum purchase sizes, target proceeds, hard cap, delivery schedule, allocation priority, oversubscription handling, fee treatment, tax considerations and refund triggers. Any changes after publication require version control and purchaser communication.</w:t>
      </w:r>
    </w:p>
    <w:p>
      <w:pPr>
        <w:pStyle w:val="Heading1"/>
        <w:spacing w:before="380" w:after="140"/>
      </w:pPr>
      <w:r>
        <w:t>5. Treasury and reconciliation</w:t>
      </w:r>
    </w:p>
    <w:p>
      <w:pPr>
        <w:spacing w:after="180" w:line="293" w:lineRule="auto"/>
        <w:jc w:val="both"/>
      </w:pPr>
      <w:r>
        <w:t>Maintain segregation between company operating funds, token sale proceeds, customer assets and any broker-related client money. Record every token allocation and transfer with transaction references, wallet attribution and authorization evidence. At each migration stage, reconcile locked, burned, minted and circulating balances across both networks.</w:t>
      </w:r>
    </w:p>
    <w:p>
      <w:pPr>
        <w:pStyle w:val="Heading1"/>
        <w:spacing w:before="380" w:after="140"/>
      </w:pPr>
      <w:r>
        <w:t>6. Restrictions and economic risks</w:t>
      </w:r>
    </w:p>
    <w:p>
      <w:pPr>
        <w:spacing w:after="180" w:line="293" w:lineRule="auto"/>
        <w:jc w:val="both"/>
      </w:pPr>
      <w:r>
        <w:t>Token allocations may create concentrated ownership, dilution-like market effects despite fixed supply, liquidity shocks and conflicts of interest. Vesting and transfer restrictions may be technically or legally difficult to enforce; these risks should be reflected in purchaser disclosures.</w:t>
      </w:r>
    </w:p>
    <w:p>
      <w:pPr>
        <w:pStyle w:val="Heading1"/>
        <w:spacing w:before="380" w:after="140"/>
      </w:pPr>
      <w:r>
        <w:t>Decision and evidence register</w:t>
      </w:r>
    </w:p>
    <w:p>
      <w:pPr>
        <w:spacing w:after="180" w:line="293" w:lineRule="auto"/>
        <w:jc w:val="both"/>
      </w:pPr>
      <w:r>
        <w:t>The following matters require written confirmation before the relevant terms are adopted or represented as operational. Attach the cited evidence to the controlled project record.</w:t>
      </w:r>
    </w:p>
    <w:tbl>
      <w:tblPr>
        <w:tblStyle w:val="TableGrid"/>
        <w:tblW w:type="auto" w:w="0"/>
        <w:jc w:val="center"/>
        <w:tblLayout w:type="fixed"/>
        <w:tblLook w:firstColumn="1" w:firstRow="1" w:lastColumn="0" w:lastRow="0" w:noHBand="0" w:noVBand="1" w:val="04A0"/>
      </w:tblPr>
      <w:tblGrid>
        <w:gridCol w:w="3187"/>
        <w:gridCol w:w="3187"/>
        <w:gridCol w:w="3187"/>
      </w:tblGrid>
      <w:tr>
        <w:tc>
          <w:tcPr>
            <w:tcW w:type="dxa" w:w="3187"/>
            <w:shd w:fill="F1E8D7"/>
          </w:tcPr>
          <w:p>
            <w:r>
              <w:rPr>
                <w:b/>
                <w:color w:val="191C22"/>
              </w:rPr>
              <w:t>Decision / evidence item</w:t>
            </w:r>
          </w:p>
        </w:tc>
        <w:tc>
          <w:tcPr>
            <w:tcW w:type="dxa" w:w="3187"/>
            <w:shd w:fill="F1E8D7"/>
          </w:tcPr>
          <w:p>
            <w:r>
              <w:rPr>
                <w:b/>
                <w:color w:val="191C22"/>
              </w:rPr>
              <w:t>Responsible party</w:t>
            </w:r>
          </w:p>
        </w:tc>
        <w:tc>
          <w:tcPr>
            <w:tcW w:type="dxa" w:w="3187"/>
            <w:shd w:fill="F1E8D7"/>
          </w:tcPr>
          <w:p>
            <w:r>
              <w:rPr>
                <w:b/>
                <w:color w:val="191C22"/>
              </w:rPr>
              <w:t>Record or outcome</w:t>
            </w:r>
          </w:p>
        </w:tc>
      </w:tr>
      <w:tr>
        <w:tc>
          <w:tcPr>
            <w:tcW w:type="dxa" w:w="3187"/>
            <w:vAlign w:val="center"/>
          </w:tcPr>
          <w:p>
            <w:r>
              <w:t>Final category allocations and beneficiaries</w:t>
            </w:r>
          </w:p>
        </w:tc>
        <w:tc>
          <w:tcPr>
            <w:tcW w:type="dxa" w:w="3187"/>
            <w:vAlign w:val="center"/>
          </w:tcPr>
          <w:p>
            <w:r>
              <w:t>Sole member / finance</w:t>
            </w:r>
          </w:p>
        </w:tc>
        <w:tc>
          <w:tcPr>
            <w:tcW w:type="dxa" w:w="3187"/>
            <w:vAlign w:val="center"/>
          </w:tcPr>
          <w:p>
            <w:r>
              <w:t>________________________________</w:t>
            </w:r>
          </w:p>
        </w:tc>
      </w:tr>
      <w:tr>
        <w:tc>
          <w:tcPr>
            <w:tcW w:type="dxa" w:w="3187"/>
            <w:vAlign w:val="center"/>
          </w:tcPr>
          <w:p>
            <w:r>
              <w:t>Price, caps and sale timeline</w:t>
            </w:r>
          </w:p>
        </w:tc>
        <w:tc>
          <w:tcPr>
            <w:tcW w:type="dxa" w:w="3187"/>
            <w:vAlign w:val="center"/>
          </w:tcPr>
          <w:p>
            <w:r>
              <w:t>Sole member / counsel</w:t>
            </w:r>
          </w:p>
        </w:tc>
        <w:tc>
          <w:tcPr>
            <w:tcW w:type="dxa" w:w="3187"/>
            <w:vAlign w:val="center"/>
          </w:tcPr>
          <w:p>
            <w:r>
              <w:t>________________________________</w:t>
            </w:r>
          </w:p>
        </w:tc>
      </w:tr>
      <w:tr>
        <w:tc>
          <w:tcPr>
            <w:tcW w:type="dxa" w:w="3187"/>
            <w:vAlign w:val="center"/>
          </w:tcPr>
          <w:p>
            <w:r>
              <w:t>Vesting contracts and release controls</w:t>
            </w:r>
          </w:p>
        </w:tc>
        <w:tc>
          <w:tcPr>
            <w:tcW w:type="dxa" w:w="3187"/>
            <w:vAlign w:val="center"/>
          </w:tcPr>
          <w:p>
            <w:r>
              <w:t>Engineering / finance</w:t>
            </w:r>
          </w:p>
        </w:tc>
        <w:tc>
          <w:tcPr>
            <w:tcW w:type="dxa" w:w="3187"/>
            <w:vAlign w:val="center"/>
          </w:tcPr>
          <w:p>
            <w:r>
              <w:t>________________________________</w:t>
            </w:r>
          </w:p>
        </w:tc>
      </w:tr>
      <w:tr>
        <w:tc>
          <w:tcPr>
            <w:tcW w:type="dxa" w:w="3187"/>
            <w:vAlign w:val="center"/>
          </w:tcPr>
          <w:p>
            <w:r>
              <w:t>Treasury custody and approval thresholds</w:t>
            </w:r>
          </w:p>
        </w:tc>
        <w:tc>
          <w:tcPr>
            <w:tcW w:type="dxa" w:w="3187"/>
            <w:vAlign w:val="center"/>
          </w:tcPr>
          <w:p>
            <w:r>
              <w:t>Finance / compliance</w:t>
            </w:r>
          </w:p>
        </w:tc>
        <w:tc>
          <w:tcPr>
            <w:tcW w:type="dxa" w:w="3187"/>
            <w:vAlign w:val="center"/>
          </w:tcPr>
          <w:p>
            <w:r>
              <w:t>________________________________</w:t>
            </w:r>
          </w:p>
        </w:tc>
      </w:tr>
      <w:tr>
        <w:tc>
          <w:tcPr>
            <w:tcW w:type="dxa" w:w="3187"/>
            <w:vAlign w:val="center"/>
          </w:tcPr>
          <w:p>
            <w:r>
              <w:t>Independent economic and security review</w:t>
            </w:r>
          </w:p>
        </w:tc>
        <w:tc>
          <w:tcPr>
            <w:tcW w:type="dxa" w:w="3187"/>
            <w:vAlign w:val="center"/>
          </w:tcPr>
          <w:p>
            <w:r>
              <w:t>External specialists</w:t>
            </w:r>
          </w:p>
        </w:tc>
        <w:tc>
          <w:tcPr>
            <w:tcW w:type="dxa" w:w="3187"/>
            <w:vAlign w:val="center"/>
          </w:tcPr>
          <w:p>
            <w:r>
              <w:t>________________________________</w:t>
            </w:r>
          </w:p>
        </w:tc>
      </w:tr>
    </w:tbl>
    <w:p>
      <w:pPr>
        <w:spacing w:after="20"/>
      </w:pPr>
    </w:p>
    <w:p>
      <w:r>
        <w:br w:type="page"/>
      </w:r>
    </w:p>
    <w:p>
      <w:pPr>
        <w:pStyle w:val="Heading1"/>
        <w:spacing w:before="380" w:after="140"/>
      </w:pPr>
      <w:r>
        <w:t>Review and acknowledgment</w:t>
      </w:r>
    </w:p>
    <w:p>
      <w:pPr>
        <w:spacing w:after="180" w:line="293" w:lineRule="auto"/>
        <w:jc w:val="both"/>
      </w:pPr>
      <w:r>
        <w:t>This page records receipt, review, or internal approval in the capacity identified below. A reviewer’s acknowledgment does not itself constitute a regulatory approval or formal legal opinion.</w:t>
      </w:r>
    </w:p>
    <w:tbl>
      <w:tblPr>
        <w:tblW w:type="auto" w:w="0"/>
        <w:tblLayout w:type="fixed"/>
        <w:tblLook w:firstColumn="1" w:firstRow="1" w:lastColumn="0" w:lastRow="0" w:noHBand="0" w:noVBand="1" w:val="04A0"/>
      </w:tblPr>
      <w:tblGrid>
        <w:gridCol w:w="4781"/>
        <w:gridCol w:w="4781"/>
      </w:tblGrid>
      <w:tr>
        <w:tc>
          <w:tcPr>
            <w:tcW w:type="dxa" w:w="4781"/>
          </w:tcPr>
          <w:p>
            <w:r/>
            <w:r>
              <w:rPr>
                <w:b/>
                <w:color w:val="946C25"/>
              </w:rPr>
              <w:t>ISSUER REPRESENTATIVE</w:t>
            </w:r>
          </w:p>
          <w:p>
            <w:r>
              <w:rPr>
                <w:b/>
              </w:rPr>
              <w:t xml:space="preserve">Printed name: </w:t>
            </w:r>
            <w:r>
              <w:t>Malik Nlem</w:t>
            </w:r>
          </w:p>
          <w:p>
            <w:r>
              <w:rPr>
                <w:b/>
              </w:rPr>
              <w:t xml:space="preserve">Signature: </w:t>
            </w:r>
            <w:r>
              <w:t>________________________</w:t>
            </w:r>
          </w:p>
          <w:p>
            <w:r>
              <w:rPr>
                <w:b/>
              </w:rPr>
              <w:t xml:space="preserve">Capacity: </w:t>
            </w:r>
            <w:r>
              <w:t>________________________</w:t>
            </w:r>
          </w:p>
          <w:p>
            <w:r>
              <w:rPr>
                <w:b/>
              </w:rPr>
              <w:t xml:space="preserve">Date: </w:t>
            </w:r>
            <w:r>
              <w:t>________________________</w:t>
            </w:r>
          </w:p>
        </w:tc>
        <w:tc>
          <w:tcPr>
            <w:tcW w:type="dxa" w:w="4781"/>
          </w:tcPr>
          <w:p>
            <w:pPr>
              <w:spacing w:after="260"/>
            </w:pPr>
            <w:r/>
            <w:r>
              <w:rPr>
                <w:b/>
                <w:sz w:val="18"/>
              </w:rPr>
              <w:t>PROFESSIONAL REVIEWER</w:t>
            </w:r>
          </w:p>
          <w:p>
            <w:pPr>
              <w:spacing w:after="180"/>
            </w:pPr>
            <w:r>
              <w:rPr>
                <w:sz w:val="18"/>
              </w:rPr>
              <w:t>Name: __________________________________</w:t>
            </w:r>
          </w:p>
          <w:p>
            <w:pPr>
              <w:spacing w:after="180"/>
            </w:pPr>
            <w:r>
              <w:rPr>
                <w:sz w:val="18"/>
              </w:rPr>
              <w:t>Law firm / organization: _______________________</w:t>
            </w:r>
          </w:p>
          <w:p>
            <w:pPr>
              <w:spacing w:after="180"/>
            </w:pPr>
            <w:r>
              <w:rPr>
                <w:sz w:val="18"/>
              </w:rPr>
              <w:t>Signature: ______________________________</w:t>
            </w:r>
          </w:p>
          <w:p>
            <w:pPr>
              <w:spacing w:after="180"/>
            </w:pPr>
            <w:r>
              <w:rPr>
                <w:sz w:val="18"/>
              </w:rPr>
              <w:t>Professional capacity: _______________________</w:t>
            </w:r>
          </w:p>
          <w:p>
            <w:pPr>
              <w:spacing w:after="180"/>
            </w:pPr>
            <w:r>
              <w:rPr>
                <w:sz w:val="18"/>
              </w:rPr>
              <w:t>Date: __________________________________</w:t>
            </w:r>
          </w:p>
        </w:tc>
      </w:tr>
    </w:tbl>
    <w:sectPr w:rsidR="00FC693F" w:rsidRPr="0006063C" w:rsidSect="00034616">
      <w:headerReference w:type="default" r:id="rId9"/>
      <w:footerReference w:type="default" r:id="rId11"/>
      <w:pgSz w:w="12240" w:h="15840"/>
      <w:pgMar w:top="1181" w:right="1339" w:bottom="1037" w:left="1339"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56F"/>
        <w:sz w:val="16"/>
      </w:rPr>
      <w:t>TRADINGBIBLE  •  COUNSEL BRIEFING 02  •  tradingbible.app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56F"/>
        <w:sz w:val="15"/>
      </w:rPr>
      <w:t>TRADINGBIBLE LLC  /  LEGAL COUNSEL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writeProtection w:recommended="1"/>
  <w:zoom w:val="bestFit"/>
  <w:proofState w:spelling="clean" w:grammar="clean"/>
  <w:documentProtection w:edit="readOnly" w:enforcement="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9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46C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46C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