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353312" cy="994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946C25"/>
          <w:sz w:val="24"/>
        </w:rPr>
        <w:t>TRADINGBIBLE LLC</w:t>
      </w:r>
    </w:p>
    <w:p>
      <w:pPr>
        <w:jc w:val="center"/>
      </w:pPr>
      <w:r>
        <w:rPr>
          <w:rFonts w:ascii="Aptos Display" w:hAnsi="Aptos Display"/>
          <w:b/>
          <w:color w:val="191C22"/>
          <w:sz w:val="42"/>
        </w:rPr>
        <w:t>Jurisdictions &amp; Purchaser Eligibility</w:t>
      </w:r>
    </w:p>
    <w:p>
      <w:pPr>
        <w:jc w:val="center"/>
      </w:pPr>
      <w:r>
        <w:rPr>
          <w:color w:val="5F656F"/>
          <w:sz w:val="20"/>
        </w:rPr>
        <w:t>Geographic scope · purchaser classification · access controls</w:t>
      </w:r>
    </w:p>
    <w:p>
      <w:pPr>
        <w:jc w:val="center"/>
      </w:pPr>
      <w:r>
        <w:rPr>
          <w:color w:val="946C25"/>
          <w:sz w:val="16"/>
        </w:rPr>
        <w:t>TRADINGBIBLE.APP   •   DELAWARE, UNITED STATES   •   OCTOBER 2026</w:t>
      </w:r>
    </w:p>
    <w:p/>
    <w:p>
      <w:pPr>
        <w:spacing w:after="180" w:line="293" w:lineRule="auto"/>
        <w:jc w:val="both"/>
      </w:pPr>
      <w:r>
        <w:t>Issuer: TradingBible LLC, a Delaware limited liability company. Sole member and manager: Malik Nlem (ownership represented by management; confirm against signed company records). Proposed asset: TradingBible Coin (TBC). Planned maximum supply: 100,000,000 TBC.</w:t>
      </w:r>
    </w:p>
    <w:p>
      <w:pPr>
        <w:pStyle w:val="Heading1"/>
        <w:spacing w:before="380" w:after="140"/>
      </w:pPr>
      <w:r>
        <w:t>1. Intended geographic reach</w:t>
      </w:r>
    </w:p>
    <w:p>
      <w:pPr>
        <w:spacing w:after="180" w:line="293" w:lineRule="auto"/>
        <w:jc w:val="both"/>
      </w:pPr>
      <w:r>
        <w:t>TradingBible wishes to evaluate access for eligible purchasers in the United States, Nigeria and additional international markets. Intent to serve a country does not constitute permission to market or sell tokens there. Every jurisdiction must be assessed before activation.</w:t>
      </w:r>
    </w:p>
    <w:p>
      <w:pPr>
        <w:pStyle w:val="Heading1"/>
        <w:spacing w:before="380" w:after="140"/>
      </w:pPr>
      <w:r>
        <w:t>2. Initial market assessment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Market</w:t>
            </w:r>
          </w:p>
        </w:tc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Proposed approach</w:t>
            </w:r>
          </w:p>
        </w:tc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Current decision</w:t>
            </w:r>
          </w:p>
        </w:tc>
      </w:tr>
      <w:tr>
        <w:tc>
          <w:tcPr>
            <w:tcW w:type="dxa" w:w="3187"/>
            <w:vAlign w:val="center"/>
          </w:tcPr>
          <w:p>
            <w:r>
              <w:t>United States</w:t>
            </w:r>
          </w:p>
        </w:tc>
        <w:tc>
          <w:tcPr>
            <w:tcW w:type="dxa" w:w="3187"/>
            <w:vAlign w:val="center"/>
          </w:tcPr>
          <w:p>
            <w:r>
              <w:t>Assess securities offering, federal/state financial regulation and purchaser classification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Nigeria</w:t>
            </w:r>
          </w:p>
        </w:tc>
        <w:tc>
          <w:tcPr>
            <w:tcW w:type="dxa" w:w="3187"/>
            <w:vAlign w:val="center"/>
          </w:tcPr>
          <w:p>
            <w:r>
              <w:t>Assess SEC and other applicable digital-asset, payments and marketing requirements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European Economic Area</w:t>
            </w:r>
          </w:p>
        </w:tc>
        <w:tc>
          <w:tcPr>
            <w:tcW w:type="dxa" w:w="3187"/>
            <w:vAlign w:val="center"/>
          </w:tcPr>
          <w:p>
            <w:r>
              <w:t>Assess MiCA and relevant national requirements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United Kingdom</w:t>
            </w:r>
          </w:p>
        </w:tc>
        <w:tc>
          <w:tcPr>
            <w:tcW w:type="dxa" w:w="3187"/>
            <w:vAlign w:val="center"/>
          </w:tcPr>
          <w:p>
            <w:r>
              <w:t>Assess financial promotions and cryptoasset requirements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Canada</w:t>
            </w:r>
          </w:p>
        </w:tc>
        <w:tc>
          <w:tcPr>
            <w:tcW w:type="dxa" w:w="3187"/>
            <w:vAlign w:val="center"/>
          </w:tcPr>
          <w:p>
            <w:r>
              <w:t>Assess provincial securities and dealer/custody requirements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Other countries</w:t>
            </w:r>
          </w:p>
        </w:tc>
        <w:tc>
          <w:tcPr>
            <w:tcW w:type="dxa" w:w="3187"/>
            <w:vAlign w:val="center"/>
          </w:tcPr>
          <w:p>
            <w:r>
              <w:t>Country-by-country review before onboarding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</w:tbl>
    <w:p>
      <w:pPr>
        <w:spacing w:after="20"/>
      </w:pPr>
    </w:p>
    <w:p>
      <w:pPr>
        <w:pStyle w:val="Heading1"/>
        <w:spacing w:before="380" w:after="140"/>
      </w:pPr>
      <w:r>
        <w:t>3. Purchaser types</w:t>
      </w:r>
    </w:p>
    <w:p>
      <w:pPr>
        <w:spacing w:after="180" w:line="293" w:lineRule="auto"/>
        <w:jc w:val="both"/>
      </w:pPr>
      <w:r>
        <w:t>Potential purchaser categories include natural persons, companies, eligible institutional purchasers and other qualified categories where recognized by law. Purchaser eligibility must not be inferred merely from a checkbox. Required evidence may include identity, legal capacity, beneficial ownership, residence, accredited or professional status and source-of-funds information.</w:t>
      </w:r>
    </w:p>
    <w:p>
      <w:pPr>
        <w:pStyle w:val="Heading1"/>
        <w:spacing w:before="380" w:after="140"/>
      </w:pPr>
      <w:r>
        <w:t>4. Access-control design</w:t>
      </w:r>
    </w:p>
    <w:p>
      <w:pPr>
        <w:spacing w:after="180" w:line="293" w:lineRule="auto"/>
        <w:jc w:val="both"/>
      </w:pPr>
      <w:r>
        <w:t>The sale platform should implement legal restrictions using multiple signals: declared residence, identity documents, payment origin, IP/geolocation, wallet screening and ongoing sanctions checks. VPN use or false declarations must not be treated as evidence of eligibility.</w:t>
      </w:r>
    </w:p>
    <w:p>
      <w:pPr>
        <w:spacing w:after="180" w:line="293" w:lineRule="auto"/>
        <w:jc w:val="both"/>
      </w:pPr>
      <w:r>
        <w:t>Maintain a jurisdiction decision log with counsel name, dated advice, applicable activity, marketing limits, purchaser categories, required filings and go-live authorization. Reassess when laws or offering facts change.</w:t>
      </w:r>
    </w:p>
    <w:p>
      <w:pPr>
        <w:pStyle w:val="Heading1"/>
        <w:spacing w:before="380" w:after="140"/>
      </w:pPr>
      <w:r>
        <w:t>5. Marketing and intermediaries</w:t>
      </w:r>
    </w:p>
    <w:p>
      <w:pPr>
        <w:spacing w:after="180" w:line="293" w:lineRule="auto"/>
        <w:jc w:val="both"/>
      </w:pPr>
      <w:r>
        <w:t>Public advertisements, affiliate referrals, influencer promotion, airdrops, exchange listings and secondary-market facilitation may trigger additional obligations. Separate approval is required for each campaign and distribution method. No partner may promise profit or regulatory endorsement on TradingBible's behalf.</w:t>
      </w:r>
    </w:p>
    <w:p>
      <w:pPr>
        <w:pStyle w:val="Heading1"/>
        <w:spacing w:before="380" w:after="140"/>
      </w:pPr>
      <w:r>
        <w:t>6. Denials and customer handling</w:t>
      </w:r>
    </w:p>
    <w:p>
      <w:pPr>
        <w:spacing w:after="180" w:line="293" w:lineRule="auto"/>
        <w:jc w:val="both"/>
      </w:pPr>
      <w:r>
        <w:t>Where a person is ineligible, prevent acceptance of payment and provide a neutral explanation where legally appropriate. Preserve an auditable decision record while respecting data protection obligations.</w:t>
      </w:r>
    </w:p>
    <w:p>
      <w:pPr>
        <w:pStyle w:val="Heading1"/>
        <w:spacing w:before="380" w:after="140"/>
      </w:pPr>
      <w:r>
        <w:t>Decision and evidence register</w:t>
      </w:r>
    </w:p>
    <w:p>
      <w:pPr>
        <w:spacing w:after="180" w:line="293" w:lineRule="auto"/>
        <w:jc w:val="both"/>
      </w:pPr>
      <w:r>
        <w:t>The following matters require written confirmation before the relevant terms are adopted or represented as operational. Attach the cited evidence to the controlled project 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Decision / evidence item</w:t>
            </w:r>
          </w:p>
        </w:tc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Responsible party</w:t>
            </w:r>
          </w:p>
        </w:tc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Record or outcome</w:t>
            </w:r>
          </w:p>
        </w:tc>
      </w:tr>
      <w:tr>
        <w:tc>
          <w:tcPr>
            <w:tcW w:type="dxa" w:w="3187"/>
            <w:vAlign w:val="center"/>
          </w:tcPr>
          <w:p>
            <w:r>
              <w:t>U.S. sale structure and purchaser class</w:t>
            </w:r>
          </w:p>
        </w:tc>
        <w:tc>
          <w:tcPr>
            <w:tcW w:type="dxa" w:w="3187"/>
            <w:vAlign w:val="center"/>
          </w:tcPr>
          <w:p>
            <w:r>
              <w:t>U.S. counsel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3187"/>
            <w:vAlign w:val="center"/>
          </w:tcPr>
          <w:p>
            <w:r>
              <w:t>Nigeria issuer/operator requirements</w:t>
            </w:r>
          </w:p>
        </w:tc>
        <w:tc>
          <w:tcPr>
            <w:tcW w:type="dxa" w:w="3187"/>
            <w:vAlign w:val="center"/>
          </w:tcPr>
          <w:p>
            <w:r>
              <w:t>Nigeria counsel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3187"/>
            <w:vAlign w:val="center"/>
          </w:tcPr>
          <w:p>
            <w:r>
              <w:t>Priority additional jurisdictions</w:t>
            </w:r>
          </w:p>
        </w:tc>
        <w:tc>
          <w:tcPr>
            <w:tcW w:type="dxa" w:w="3187"/>
            <w:vAlign w:val="center"/>
          </w:tcPr>
          <w:p>
            <w:r>
              <w:t>Management / counsel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3187"/>
            <w:vAlign w:val="center"/>
          </w:tcPr>
          <w:p>
            <w:r>
              <w:t>Sanctions and restricted territories list</w:t>
            </w:r>
          </w:p>
        </w:tc>
        <w:tc>
          <w:tcPr>
            <w:tcW w:type="dxa" w:w="3187"/>
            <w:vAlign w:val="center"/>
          </w:tcPr>
          <w:p>
            <w:r>
              <w:t>Compliance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3187"/>
            <w:vAlign w:val="center"/>
          </w:tcPr>
          <w:p>
            <w:r>
              <w:t>Geo-blocking and purchaser verification tests</w:t>
            </w:r>
          </w:p>
        </w:tc>
        <w:tc>
          <w:tcPr>
            <w:tcW w:type="dxa" w:w="3187"/>
            <w:vAlign w:val="center"/>
          </w:tcPr>
          <w:p>
            <w:r>
              <w:t>Engineering / compliance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380" w:after="140"/>
      </w:pPr>
      <w:r>
        <w:t>Review and acknowledgment</w:t>
      </w:r>
    </w:p>
    <w:p>
      <w:pPr>
        <w:spacing w:after="180" w:line="293" w:lineRule="auto"/>
        <w:jc w:val="both"/>
      </w:pPr>
      <w:r>
        <w:t>This page records receipt, review, or internal approval in the capacity identified below. A reviewer’s acknowledgment does not itself constitute a regulatory approval or formal legal opinion.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81"/>
        <w:gridCol w:w="4781"/>
      </w:tblGrid>
      <w:tr>
        <w:tc>
          <w:tcPr>
            <w:tcW w:type="dxa" w:w="4781"/>
          </w:tcPr>
          <w:p>
            <w:r/>
            <w:r>
              <w:rPr>
                <w:b/>
                <w:color w:val="946C25"/>
              </w:rPr>
              <w:t>ISSUER REPRESENTATIVE</w:t>
            </w:r>
          </w:p>
          <w:p>
            <w:r>
              <w:rPr>
                <w:b/>
              </w:rPr>
              <w:t xml:space="preserve">Printed name: </w:t>
            </w:r>
            <w:r>
              <w:t>Malik Nlem</w:t>
            </w:r>
          </w:p>
          <w:p>
            <w:r>
              <w:rPr>
                <w:b/>
              </w:rPr>
              <w:t xml:space="preserve">Signature: </w:t>
            </w:r>
            <w:r>
              <w:t>________________________</w:t>
            </w:r>
          </w:p>
          <w:p>
            <w:r>
              <w:rPr>
                <w:b/>
              </w:rPr>
              <w:t xml:space="preserve">Capacity: </w:t>
            </w:r>
            <w:r>
              <w:t>________________________</w:t>
            </w:r>
          </w:p>
          <w:p>
            <w:r>
              <w:rPr>
                <w:b/>
              </w:rPr>
              <w:t xml:space="preserve">Date: </w:t>
            </w:r>
            <w:r>
              <w:t>________________________</w:t>
            </w:r>
          </w:p>
        </w:tc>
        <w:tc>
          <w:tcPr>
            <w:tcW w:type="dxa" w:w="4781"/>
          </w:tcPr>
          <w:p>
            <w:pPr>
              <w:spacing w:after="260"/>
            </w:pPr>
            <w:r/>
            <w:r>
              <w:rPr>
                <w:b/>
                <w:sz w:val="18"/>
              </w:rPr>
              <w:t>PROFESSIONAL REVIEWER</w:t>
            </w:r>
          </w:p>
          <w:p>
            <w:pPr>
              <w:spacing w:after="180"/>
            </w:pPr>
            <w:r>
              <w:rPr>
                <w:sz w:val="18"/>
              </w:rPr>
              <w:t>Name: __________________________________</w:t>
            </w:r>
          </w:p>
          <w:p>
            <w:pPr>
              <w:spacing w:after="180"/>
            </w:pPr>
            <w:r>
              <w:rPr>
                <w:sz w:val="18"/>
              </w:rPr>
              <w:t>Law firm / organization: _______________________</w:t>
            </w:r>
          </w:p>
          <w:p>
            <w:pPr>
              <w:spacing w:after="180"/>
            </w:pPr>
            <w:r>
              <w:rPr>
                <w:sz w:val="18"/>
              </w:rPr>
              <w:t>Signature: ______________________________</w:t>
            </w:r>
          </w:p>
          <w:p>
            <w:pPr>
              <w:spacing w:after="180"/>
            </w:pPr>
            <w:r>
              <w:rPr>
                <w:sz w:val="18"/>
              </w:rPr>
              <w:t>Professional capacity: _______________________</w:t>
            </w:r>
          </w:p>
          <w:p>
            <w:pPr>
              <w:spacing w:after="180"/>
            </w:pPr>
            <w:r>
              <w:rPr>
                <w:sz w:val="18"/>
              </w:rPr>
              <w:t>Date: 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2240" w:h="15840"/>
      <w:pgMar w:top="1181" w:right="1339" w:bottom="1037" w:left="1339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56F"/>
        <w:sz w:val="16"/>
      </w:rPr>
      <w:t>TRADINGBIBLE  •  COUNSEL BRIEFING 04  •  tradingbible.app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56F"/>
        <w:sz w:val="15"/>
      </w:rPr>
      <w:t>TRADINGBIBLE LLC  /  LEGAL COUNSEL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191C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46C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46C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