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353312" cy="994479"/>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353312" cy="994479"/>
                    </a:xfrm>
                    <a:prstGeom prst="rect"/>
                  </pic:spPr>
                </pic:pic>
              </a:graphicData>
            </a:graphic>
          </wp:inline>
        </w:drawing>
      </w:r>
    </w:p>
    <w:p>
      <w:pPr>
        <w:jc w:val="center"/>
      </w:pPr>
      <w:r>
        <w:rPr>
          <w:rFonts w:ascii="Aptos Display" w:hAnsi="Aptos Display"/>
          <w:b/>
          <w:color w:val="946C25"/>
          <w:sz w:val="24"/>
        </w:rPr>
        <w:t>TRADINGBIBLE LLC</w:t>
      </w:r>
    </w:p>
    <w:p>
      <w:pPr>
        <w:jc w:val="center"/>
      </w:pPr>
      <w:r>
        <w:rPr>
          <w:rFonts w:ascii="Aptos Display" w:hAnsi="Aptos Display"/>
          <w:b/>
          <w:color w:val="191C22"/>
          <w:sz w:val="42"/>
        </w:rPr>
        <w:t>TBC Whitepaper &amp; Utility Roadmap</w:t>
      </w:r>
    </w:p>
    <w:p>
      <w:pPr>
        <w:jc w:val="center"/>
      </w:pPr>
      <w:r>
        <w:rPr>
          <w:color w:val="5F656F"/>
          <w:sz w:val="20"/>
        </w:rPr>
        <w:t>Issuer overview · functional design · delivery milestones</w:t>
      </w:r>
    </w:p>
    <w:p>
      <w:pPr>
        <w:jc w:val="center"/>
      </w:pPr>
      <w:r>
        <w:rPr>
          <w:color w:val="946C25"/>
          <w:sz w:val="16"/>
        </w:rPr>
        <w:t>TRADINGBIBLE.APP   •   DELAWARE, UNITED STATES   •   OCTOBER 2026</w:t>
      </w:r>
    </w:p>
    <w:p/>
    <w:p>
      <w:pPr>
        <w:spacing w:after="180" w:line="293" w:lineRule="auto"/>
        <w:jc w:val="both"/>
      </w:pPr>
      <w:r>
        <w:t>Issuer: TradingBible LLC, a Delaware limited liability company. Sole member and manager: Malik Nlem (ownership represented by management; confirm against signed company records). Proposed asset: TradingBible Coin (TBC). Planned maximum supply: 100,000,000 TBC.</w:t>
      </w:r>
    </w:p>
    <w:p>
      <w:pPr>
        <w:pStyle w:val="Heading1"/>
        <w:spacing w:before="380" w:after="140"/>
      </w:pPr>
      <w:r>
        <w:t>1. Executive description</w:t>
      </w:r>
    </w:p>
    <w:p>
      <w:pPr>
        <w:spacing w:after="180" w:line="293" w:lineRule="auto"/>
        <w:jc w:val="both"/>
      </w:pPr>
      <w:r>
        <w:t>TradingBible Coin (TBC) is a proposed digital asset intended for integration with the TradingBible technology ecosystem. The issuer is evaluating a deployment on Base followed, if feasible and lawfully implemented, by an independent blockchain provisionally known as TradingBible Chain.</w:t>
      </w:r>
    </w:p>
    <w:p>
      <w:pPr>
        <w:spacing w:after="180" w:line="293" w:lineRule="auto"/>
        <w:jc w:val="both"/>
      </w:pPr>
      <w:r>
        <w:t>This briefing describes a development proposal, not a representation that token functionality, public distribution, blockchain migration, staking or governance is currently operational. A feature is designated live only when the issuer can provide production records, tested interfaces, operating controls and evidence of lawful availability.</w:t>
      </w:r>
    </w:p>
    <w:p>
      <w:pPr>
        <w:pStyle w:val="Heading1"/>
        <w:spacing w:before="380" w:after="140"/>
      </w:pPr>
      <w:r>
        <w:t>2. Issuer and ecosystem context</w:t>
      </w:r>
    </w:p>
    <w:p>
      <w:pPr>
        <w:spacing w:after="180" w:line="293" w:lineRule="auto"/>
        <w:jc w:val="both"/>
      </w:pPr>
      <w:r>
        <w:t>TradingBible intends to develop charting, trading analysis, order-flow visualization, heatmaps, account synchronization, trading education and related software services. Any functionality provided by a regulated broker, custodian or payment business must be distinguished from software supplied by TradingBible.</w:t>
      </w:r>
    </w:p>
    <w:p>
      <w:pPr>
        <w:spacing w:after="180" w:line="293" w:lineRule="auto"/>
        <w:jc w:val="both"/>
      </w:pPr>
      <w:r>
        <w:t>The token’s issuance and any potential brokerage business are separate legal and operational workstreams. Ownership of TBC does not by itself confer an equity interest in TradingBible LLC, a right to profits, a trading account, brokerage authorization, or guaranteed access to future products.</w:t>
      </w:r>
    </w:p>
    <w:p>
      <w:pPr>
        <w:pStyle w:val="Heading1"/>
        <w:spacing w:before="380" w:after="140"/>
      </w:pPr>
      <w:r>
        <w:t>3. Proposed utility matrix</w:t>
      </w:r>
    </w:p>
    <w:tbl>
      <w:tblPr>
        <w:tblStyle w:val="TableGrid"/>
        <w:tblW w:type="auto" w:w="0"/>
        <w:jc w:val="center"/>
        <w:tblLayout w:type="fixed"/>
        <w:tblLook w:firstColumn="1" w:firstRow="1" w:lastColumn="0" w:lastRow="0" w:noHBand="0" w:noVBand="1" w:val="04A0"/>
      </w:tblPr>
      <w:tblGrid>
        <w:gridCol w:w="3187"/>
        <w:gridCol w:w="3187"/>
        <w:gridCol w:w="3187"/>
      </w:tblGrid>
      <w:tr>
        <w:tc>
          <w:tcPr>
            <w:tcW w:type="dxa" w:w="3187"/>
            <w:shd w:fill="F1E8D7"/>
          </w:tcPr>
          <w:p>
            <w:r>
              <w:rPr>
                <w:b/>
                <w:color w:val="191C22"/>
              </w:rPr>
              <w:t>Proposed use</w:t>
            </w:r>
          </w:p>
        </w:tc>
        <w:tc>
          <w:tcPr>
            <w:tcW w:type="dxa" w:w="3187"/>
            <w:shd w:fill="F1E8D7"/>
          </w:tcPr>
          <w:p>
            <w:r>
              <w:rPr>
                <w:b/>
                <w:color w:val="191C22"/>
              </w:rPr>
              <w:t>Launch status</w:t>
            </w:r>
          </w:p>
        </w:tc>
        <w:tc>
          <w:tcPr>
            <w:tcW w:type="dxa" w:w="3187"/>
            <w:shd w:fill="F1E8D7"/>
          </w:tcPr>
          <w:p>
            <w:r>
              <w:rPr>
                <w:b/>
                <w:color w:val="191C22"/>
              </w:rPr>
              <w:t>Prerequisite</w:t>
            </w:r>
          </w:p>
        </w:tc>
      </w:tr>
      <w:tr>
        <w:tc>
          <w:tcPr>
            <w:tcW w:type="dxa" w:w="3187"/>
            <w:vAlign w:val="center"/>
          </w:tcPr>
          <w:p>
            <w:r>
              <w:t>Eligible ecosystem service payments</w:t>
            </w:r>
          </w:p>
        </w:tc>
        <w:tc>
          <w:tcPr>
            <w:tcW w:type="dxa" w:w="3187"/>
            <w:vAlign w:val="center"/>
          </w:tcPr>
          <w:p>
            <w:r>
              <w:t>Planned; not verified live</w:t>
            </w:r>
          </w:p>
        </w:tc>
        <w:tc>
          <w:tcPr>
            <w:tcW w:type="dxa" w:w="3187"/>
            <w:vAlign w:val="center"/>
          </w:tcPr>
          <w:p>
            <w:r>
              <w:t>Product pricing, checkout, accounting and legal assessment</w:t>
            </w:r>
          </w:p>
        </w:tc>
      </w:tr>
      <w:tr>
        <w:tc>
          <w:tcPr>
            <w:tcW w:type="dxa" w:w="3187"/>
            <w:vAlign w:val="center"/>
          </w:tcPr>
          <w:p>
            <w:r>
              <w:t>Developer/API access and network services</w:t>
            </w:r>
          </w:p>
        </w:tc>
        <w:tc>
          <w:tcPr>
            <w:tcW w:type="dxa" w:w="3187"/>
            <w:vAlign w:val="center"/>
          </w:tcPr>
          <w:p>
            <w:r>
              <w:t>Planned</w:t>
            </w:r>
          </w:p>
        </w:tc>
        <w:tc>
          <w:tcPr>
            <w:tcW w:type="dxa" w:w="3187"/>
            <w:vAlign w:val="center"/>
          </w:tcPr>
          <w:p>
            <w:r>
              <w:t>Published service terms and metering</w:t>
            </w:r>
          </w:p>
        </w:tc>
      </w:tr>
      <w:tr>
        <w:tc>
          <w:tcPr>
            <w:tcW w:type="dxa" w:w="3187"/>
            <w:vAlign w:val="center"/>
          </w:tcPr>
          <w:p>
            <w:r>
              <w:t>Staking or network participation</w:t>
            </w:r>
          </w:p>
        </w:tc>
        <w:tc>
          <w:tcPr>
            <w:tcW w:type="dxa" w:w="3187"/>
            <w:vAlign w:val="center"/>
          </w:tcPr>
          <w:p>
            <w:r>
              <w:t>Future proposal</w:t>
            </w:r>
          </w:p>
        </w:tc>
        <w:tc>
          <w:tcPr>
            <w:tcW w:type="dxa" w:w="3187"/>
            <w:vAlign w:val="center"/>
          </w:tcPr>
          <w:p>
            <w:r>
              <w:t>Security/economic design and jurisdiction analysis</w:t>
            </w:r>
          </w:p>
        </w:tc>
      </w:tr>
      <w:tr>
        <w:tc>
          <w:tcPr>
            <w:tcW w:type="dxa" w:w="3187"/>
            <w:vAlign w:val="center"/>
          </w:tcPr>
          <w:p>
            <w:r>
              <w:t>Governance participation</w:t>
            </w:r>
          </w:p>
        </w:tc>
        <w:tc>
          <w:tcPr>
            <w:tcW w:type="dxa" w:w="3187"/>
            <w:vAlign w:val="center"/>
          </w:tcPr>
          <w:p>
            <w:r>
              <w:t>Future proposal</w:t>
            </w:r>
          </w:p>
        </w:tc>
        <w:tc>
          <w:tcPr>
            <w:tcW w:type="dxa" w:w="3187"/>
            <w:vAlign w:val="center"/>
          </w:tcPr>
          <w:p>
            <w:r>
              <w:t>Defined voting scope and anti-abuse controls</w:t>
            </w:r>
          </w:p>
        </w:tc>
      </w:tr>
      <w:tr>
        <w:tc>
          <w:tcPr>
            <w:tcW w:type="dxa" w:w="3187"/>
            <w:vAlign w:val="center"/>
          </w:tcPr>
          <w:p>
            <w:r>
              <w:t>Transaction fees on TradingBible Chain</w:t>
            </w:r>
          </w:p>
        </w:tc>
        <w:tc>
          <w:tcPr>
            <w:tcW w:type="dxa" w:w="3187"/>
            <w:vAlign w:val="center"/>
          </w:tcPr>
          <w:p>
            <w:r>
              <w:t>Future proposal</w:t>
            </w:r>
          </w:p>
        </w:tc>
        <w:tc>
          <w:tcPr>
            <w:tcW w:type="dxa" w:w="3187"/>
            <w:vAlign w:val="center"/>
          </w:tcPr>
          <w:p>
            <w:r>
              <w:t>Independent chain deployment and validator operation</w:t>
            </w:r>
          </w:p>
        </w:tc>
      </w:tr>
      <w:tr>
        <w:tc>
          <w:tcPr>
            <w:tcW w:type="dxa" w:w="3187"/>
            <w:vAlign w:val="center"/>
          </w:tcPr>
          <w:p>
            <w:r>
              <w:t>Partner integrations</w:t>
            </w:r>
          </w:p>
        </w:tc>
        <w:tc>
          <w:tcPr>
            <w:tcW w:type="dxa" w:w="3187"/>
            <w:vAlign w:val="center"/>
          </w:tcPr>
          <w:p>
            <w:r>
              <w:t>Potential future use</w:t>
            </w:r>
          </w:p>
        </w:tc>
        <w:tc>
          <w:tcPr>
            <w:tcW w:type="dxa" w:w="3187"/>
            <w:vAlign w:val="center"/>
          </w:tcPr>
          <w:p>
            <w:r>
              <w:t>Executed partner agreements and supported APIs</w:t>
            </w:r>
          </w:p>
        </w:tc>
      </w:tr>
    </w:tbl>
    <w:p>
      <w:pPr>
        <w:spacing w:after="20"/>
      </w:pPr>
    </w:p>
    <w:p>
      <w:pPr>
        <w:pStyle w:val="Heading1"/>
        <w:spacing w:before="380" w:after="140"/>
      </w:pPr>
      <w:r>
        <w:t>4. Development sequence</w:t>
      </w:r>
    </w:p>
    <w:p>
      <w:pPr>
        <w:spacing w:after="180" w:line="293" w:lineRule="auto"/>
        <w:jc w:val="both"/>
      </w:pPr>
      <w:r>
        <w:t>Phase A — Design and legal assessment: confirm economic model, token rights, sale structure, customer eligibility and engineering requirements. No public token sale is authorized merely by completion of this phase.</w:t>
      </w:r>
    </w:p>
    <w:p>
      <w:pPr>
        <w:spacing w:after="180" w:line="293" w:lineRule="auto"/>
        <w:jc w:val="both"/>
      </w:pPr>
      <w:r>
        <w:t>Phase B — Prototype and private testing: implement a controlled token prototype, test issuance permissions, custody, transfer restrictions where needed, monitoring and reconciliation.</w:t>
      </w:r>
    </w:p>
    <w:p>
      <w:pPr>
        <w:spacing w:after="180" w:line="293" w:lineRule="auto"/>
        <w:jc w:val="both"/>
      </w:pPr>
      <w:r>
        <w:t>Phase C — Independent assurance: obtain security review of contracts, distribution workflows, privileged roles, bridge design and incident response; remediate material findings.</w:t>
      </w:r>
    </w:p>
    <w:p>
      <w:pPr>
        <w:spacing w:after="180" w:line="293" w:lineRule="auto"/>
        <w:jc w:val="both"/>
      </w:pPr>
      <w:r>
        <w:t>Phase D — Limited permitted release: enable only those jurisdictions, customer categories and features approved for launch by counsel and operations management.</w:t>
      </w:r>
    </w:p>
    <w:p>
      <w:pPr>
        <w:spacing w:after="180" w:line="293" w:lineRule="auto"/>
        <w:jc w:val="both"/>
      </w:pPr>
      <w:r>
        <w:t>Phase E — TradingBible Chain research and testnet: assess Cosmos SDK/CometBFT/Cosmos EVM architecture, network governance, validators, fees and interoperability. A chain launch is contingent, not promised.</w:t>
      </w:r>
    </w:p>
    <w:p>
      <w:pPr>
        <w:pStyle w:val="Heading1"/>
        <w:spacing w:before="380" w:after="140"/>
      </w:pPr>
      <w:r>
        <w:t>5. Supply integrity and migration</w:t>
      </w:r>
    </w:p>
    <w:p>
      <w:pPr>
        <w:spacing w:after="180" w:line="293" w:lineRule="auto"/>
        <w:jc w:val="both"/>
      </w:pPr>
      <w:r>
        <w:t>The proposed maximum economic supply is 100,000,000 TBC. Any later migration must maintain one-for-one economic accounting: tokens locked or retired on the source network must correspond to tokens issued or released on the destination network, with reconciled balances and independent audit evidence. No routine discretionary minting is contemplated.</w:t>
      </w:r>
    </w:p>
    <w:p>
      <w:pPr>
        <w:pStyle w:val="Heading1"/>
        <w:spacing w:before="380" w:after="140"/>
      </w:pPr>
      <w:r>
        <w:t>6. Purchaser communications and risk</w:t>
      </w:r>
    </w:p>
    <w:p>
      <w:pPr>
        <w:spacing w:after="180" w:line="293" w:lineRule="auto"/>
        <w:jc w:val="both"/>
      </w:pPr>
      <w:r>
        <w:t>No statement should imply guaranteed exchange listing, liquidity, appreciation, dividends, redemption, staking yield or future delivery date. Project timelines may change or be cancelled. Buyers may lose all amounts paid, and smart-contract, custody, operational, legal and market risks are material.</w:t>
      </w:r>
    </w:p>
    <w:p>
      <w:pPr>
        <w:pStyle w:val="Heading1"/>
        <w:spacing w:before="380" w:after="140"/>
      </w:pPr>
      <w:r>
        <w:t>Decision and evidence register</w:t>
      </w:r>
    </w:p>
    <w:p>
      <w:pPr>
        <w:spacing w:after="180" w:line="293" w:lineRule="auto"/>
        <w:jc w:val="both"/>
      </w:pPr>
      <w:r>
        <w:t>The following matters require written confirmation before the relevant terms are adopted or represented as operational. Attach the cited evidence to the controlled project record.</w:t>
      </w:r>
    </w:p>
    <w:tbl>
      <w:tblPr>
        <w:tblStyle w:val="TableGrid"/>
        <w:tblW w:type="auto" w:w="0"/>
        <w:jc w:val="center"/>
        <w:tblLayout w:type="fixed"/>
        <w:tblLook w:firstColumn="1" w:firstRow="1" w:lastColumn="0" w:lastRow="0" w:noHBand="0" w:noVBand="1" w:val="04A0"/>
      </w:tblPr>
      <w:tblGrid>
        <w:gridCol w:w="3187"/>
        <w:gridCol w:w="3187"/>
        <w:gridCol w:w="3187"/>
      </w:tblGrid>
      <w:tr>
        <w:tc>
          <w:tcPr>
            <w:tcW w:type="dxa" w:w="3187"/>
            <w:shd w:fill="F1E8D7"/>
          </w:tcPr>
          <w:p>
            <w:r>
              <w:rPr>
                <w:b/>
                <w:color w:val="191C22"/>
              </w:rPr>
              <w:t>Decision / evidence item</w:t>
            </w:r>
          </w:p>
        </w:tc>
        <w:tc>
          <w:tcPr>
            <w:tcW w:type="dxa" w:w="3187"/>
            <w:shd w:fill="F1E8D7"/>
          </w:tcPr>
          <w:p>
            <w:r>
              <w:rPr>
                <w:b/>
                <w:color w:val="191C22"/>
              </w:rPr>
              <w:t>Responsible party</w:t>
            </w:r>
          </w:p>
        </w:tc>
        <w:tc>
          <w:tcPr>
            <w:tcW w:type="dxa" w:w="3187"/>
            <w:shd w:fill="F1E8D7"/>
          </w:tcPr>
          <w:p>
            <w:r>
              <w:rPr>
                <w:b/>
                <w:color w:val="191C22"/>
              </w:rPr>
              <w:t>Record or outcome</w:t>
            </w:r>
          </w:p>
        </w:tc>
      </w:tr>
      <w:tr>
        <w:tc>
          <w:tcPr>
            <w:tcW w:type="dxa" w:w="3187"/>
            <w:vAlign w:val="center"/>
          </w:tcPr>
          <w:p>
            <w:r>
              <w:t>Utility demonstrably available at first sale</w:t>
            </w:r>
          </w:p>
        </w:tc>
        <w:tc>
          <w:tcPr>
            <w:tcW w:type="dxa" w:w="3187"/>
            <w:vAlign w:val="center"/>
          </w:tcPr>
          <w:p>
            <w:r>
              <w:t>Product and engineering</w:t>
            </w:r>
          </w:p>
        </w:tc>
        <w:tc>
          <w:tcPr>
            <w:tcW w:type="dxa" w:w="3187"/>
            <w:vAlign w:val="center"/>
          </w:tcPr>
          <w:p>
            <w:r>
              <w:t>________________________________</w:t>
            </w:r>
          </w:p>
        </w:tc>
      </w:tr>
      <w:tr>
        <w:tc>
          <w:tcPr>
            <w:tcW w:type="dxa" w:w="3187"/>
            <w:vAlign w:val="center"/>
          </w:tcPr>
          <w:p>
            <w:r>
              <w:t>Chain architecture and bridge specification</w:t>
            </w:r>
          </w:p>
        </w:tc>
        <w:tc>
          <w:tcPr>
            <w:tcW w:type="dxa" w:w="3187"/>
            <w:vAlign w:val="center"/>
          </w:tcPr>
          <w:p>
            <w:r>
              <w:t>CTO / security</w:t>
            </w:r>
          </w:p>
        </w:tc>
        <w:tc>
          <w:tcPr>
            <w:tcW w:type="dxa" w:w="3187"/>
            <w:vAlign w:val="center"/>
          </w:tcPr>
          <w:p>
            <w:r>
              <w:t>________________________________</w:t>
            </w:r>
          </w:p>
        </w:tc>
      </w:tr>
      <w:tr>
        <w:tc>
          <w:tcPr>
            <w:tcW w:type="dxa" w:w="3187"/>
            <w:vAlign w:val="center"/>
          </w:tcPr>
          <w:p>
            <w:r>
              <w:t>Rights granted to TBC holders</w:t>
            </w:r>
          </w:p>
        </w:tc>
        <w:tc>
          <w:tcPr>
            <w:tcW w:type="dxa" w:w="3187"/>
            <w:vAlign w:val="center"/>
          </w:tcPr>
          <w:p>
            <w:r>
              <w:t>Management and legal</w:t>
            </w:r>
          </w:p>
        </w:tc>
        <w:tc>
          <w:tcPr>
            <w:tcW w:type="dxa" w:w="3187"/>
            <w:vAlign w:val="center"/>
          </w:tcPr>
          <w:p>
            <w:r>
              <w:t>________________________________</w:t>
            </w:r>
          </w:p>
        </w:tc>
      </w:tr>
      <w:tr>
        <w:tc>
          <w:tcPr>
            <w:tcW w:type="dxa" w:w="3187"/>
            <w:vAlign w:val="center"/>
          </w:tcPr>
          <w:p>
            <w:r>
              <w:t>Roadmap dates and release criteria</w:t>
            </w:r>
          </w:p>
        </w:tc>
        <w:tc>
          <w:tcPr>
            <w:tcW w:type="dxa" w:w="3187"/>
            <w:vAlign w:val="center"/>
          </w:tcPr>
          <w:p>
            <w:r>
              <w:t>Management</w:t>
            </w:r>
          </w:p>
        </w:tc>
        <w:tc>
          <w:tcPr>
            <w:tcW w:type="dxa" w:w="3187"/>
            <w:vAlign w:val="center"/>
          </w:tcPr>
          <w:p>
            <w:r>
              <w:t>________________________________</w:t>
            </w:r>
          </w:p>
        </w:tc>
      </w:tr>
      <w:tr>
        <w:tc>
          <w:tcPr>
            <w:tcW w:type="dxa" w:w="3187"/>
            <w:vAlign w:val="center"/>
          </w:tcPr>
          <w:p>
            <w:r>
              <w:t>Whitepaper claims and supporting evidence</w:t>
            </w:r>
          </w:p>
        </w:tc>
        <w:tc>
          <w:tcPr>
            <w:tcW w:type="dxa" w:w="3187"/>
            <w:vAlign w:val="center"/>
          </w:tcPr>
          <w:p>
            <w:r>
              <w:t>Counsel and compliance</w:t>
            </w:r>
          </w:p>
        </w:tc>
        <w:tc>
          <w:tcPr>
            <w:tcW w:type="dxa" w:w="3187"/>
            <w:vAlign w:val="center"/>
          </w:tcPr>
          <w:p>
            <w:r>
              <w:t>________________________________</w:t>
            </w:r>
          </w:p>
        </w:tc>
      </w:tr>
    </w:tbl>
    <w:p>
      <w:pPr>
        <w:spacing w:after="20"/>
      </w:pPr>
    </w:p>
    <w:p>
      <w:r>
        <w:br w:type="page"/>
      </w:r>
    </w:p>
    <w:p>
      <w:pPr>
        <w:pStyle w:val="Heading1"/>
        <w:spacing w:before="380" w:after="140"/>
      </w:pPr>
      <w:r>
        <w:t>Review and acknowledgment</w:t>
      </w:r>
    </w:p>
    <w:p>
      <w:pPr>
        <w:spacing w:after="180" w:line="293" w:lineRule="auto"/>
        <w:jc w:val="both"/>
      </w:pPr>
      <w:r>
        <w:t>This page records receipt, review, or internal approval in the capacity identified below. A reviewer’s acknowledgment does not itself constitute a regulatory approval or formal legal opinion.</w:t>
      </w:r>
    </w:p>
    <w:tbl>
      <w:tblPr>
        <w:tblW w:type="auto" w:w="0"/>
        <w:tblLayout w:type="fixed"/>
        <w:tblLook w:firstColumn="1" w:firstRow="1" w:lastColumn="0" w:lastRow="0" w:noHBand="0" w:noVBand="1" w:val="04A0"/>
      </w:tblPr>
      <w:tblGrid>
        <w:gridCol w:w="4781"/>
        <w:gridCol w:w="4781"/>
      </w:tblGrid>
      <w:tr>
        <w:tc>
          <w:tcPr>
            <w:tcW w:type="dxa" w:w="4781"/>
          </w:tcPr>
          <w:p>
            <w:r/>
            <w:r>
              <w:rPr>
                <w:b/>
                <w:color w:val="946C25"/>
              </w:rPr>
              <w:t>ISSUER REPRESENTATIVE</w:t>
            </w:r>
          </w:p>
          <w:p>
            <w:r>
              <w:rPr>
                <w:b/>
              </w:rPr>
              <w:t xml:space="preserve">Printed name: </w:t>
            </w:r>
            <w:r>
              <w:t>Malik Nlem</w:t>
            </w:r>
          </w:p>
          <w:p>
            <w:r>
              <w:rPr>
                <w:b/>
              </w:rPr>
              <w:t xml:space="preserve">Signature: </w:t>
            </w:r>
            <w:r>
              <w:t>________________________</w:t>
            </w:r>
          </w:p>
          <w:p>
            <w:r>
              <w:rPr>
                <w:b/>
              </w:rPr>
              <w:t xml:space="preserve">Capacity: </w:t>
            </w:r>
            <w:r>
              <w:t>________________________</w:t>
            </w:r>
          </w:p>
          <w:p>
            <w:r>
              <w:rPr>
                <w:b/>
              </w:rPr>
              <w:t xml:space="preserve">Date: </w:t>
            </w:r>
            <w:r>
              <w:t>________________________</w:t>
            </w:r>
          </w:p>
        </w:tc>
        <w:tc>
          <w:tcPr>
            <w:tcW w:type="dxa" w:w="4781"/>
          </w:tcPr>
          <w:p>
            <w:pPr>
              <w:spacing w:after="260"/>
            </w:pPr>
            <w:r/>
            <w:r>
              <w:rPr>
                <w:b/>
                <w:sz w:val="18"/>
              </w:rPr>
              <w:t>PROFESSIONAL REVIEWER</w:t>
            </w:r>
          </w:p>
          <w:p>
            <w:pPr>
              <w:spacing w:after="180"/>
            </w:pPr>
            <w:r>
              <w:rPr>
                <w:sz w:val="18"/>
              </w:rPr>
              <w:t>Name: __________________________________</w:t>
            </w:r>
          </w:p>
          <w:p>
            <w:pPr>
              <w:spacing w:after="180"/>
            </w:pPr>
            <w:r>
              <w:rPr>
                <w:sz w:val="18"/>
              </w:rPr>
              <w:t>Law firm / organization: _______________________</w:t>
            </w:r>
          </w:p>
          <w:p>
            <w:pPr>
              <w:spacing w:after="180"/>
            </w:pPr>
            <w:r>
              <w:rPr>
                <w:sz w:val="18"/>
              </w:rPr>
              <w:t>Signature: ______________________________</w:t>
            </w:r>
          </w:p>
          <w:p>
            <w:pPr>
              <w:spacing w:after="180"/>
            </w:pPr>
            <w:r>
              <w:rPr>
                <w:sz w:val="18"/>
              </w:rPr>
              <w:t>Professional capacity: _______________________</w:t>
            </w:r>
          </w:p>
          <w:p>
            <w:pPr>
              <w:spacing w:after="180"/>
            </w:pPr>
            <w:r>
              <w:rPr>
                <w:sz w:val="18"/>
              </w:rPr>
              <w:t>Date: __________________________________</w:t>
            </w:r>
          </w:p>
        </w:tc>
      </w:tr>
    </w:tbl>
    <w:sectPr w:rsidR="00FC693F" w:rsidRPr="0006063C" w:rsidSect="00034616">
      <w:headerReference w:type="default" r:id="rId9"/>
      <w:footerReference w:type="default" r:id="rId11"/>
      <w:pgSz w:w="12240" w:h="15840"/>
      <w:pgMar w:top="1181" w:right="1339" w:bottom="1037" w:left="1339"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56F"/>
        <w:sz w:val="16"/>
      </w:rPr>
      <w:t>TRADINGBIBLE  •  COUNSEL BRIEFING 01  •  tradingbible.app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56F"/>
        <w:sz w:val="15"/>
      </w:rPr>
      <w:t>TRADINGBIBLE LLC  /  LEGAL COUNSEL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color w:val="191C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946C2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946C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