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621792" cy="456923"/>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21792" cy="456923"/>
                    </a:xfrm>
                    <a:prstGeom prst="rect"/>
                  </pic:spPr>
                </pic:pic>
              </a:graphicData>
            </a:graphic>
          </wp:inline>
        </w:drawing>
      </w:r>
    </w:p>
    <w:p>
      <w:pPr/>
      <w:r>
        <w:rPr>
          <w:b/>
          <w:sz w:val="32"/>
        </w:rPr>
        <w:t>TRADINGBIBLE LLC</w:t>
      </w:r>
    </w:p>
    <w:p>
      <w:r>
        <w:t>TB PUBLIC MARKETS PREPARATION  •  CORPORATE LEGAL INSTRUMENTS</w:t>
      </w:r>
    </w:p>
    <w:p>
      <w:pPr>
        <w:pStyle w:val="Title"/>
      </w:pPr>
      <w:r>
        <w:t>Exchange Listing and IPO Execution Playbook</w:t>
      </w:r>
    </w:p>
    <w:p>
      <w:r>
        <w:t>INSTRUMENT 07  |  TradingBible LLC  |  Delaware file 10728395  |  tradingbible.app</w:t>
      </w:r>
    </w:p>
    <w:p/>
    <w:p>
      <w:pPr>
        <w:pStyle w:val="Heading1"/>
      </w:pPr>
      <w:r>
        <w:t>1.  Corporate identity</w:t>
      </w:r>
    </w:p>
    <w:p>
      <w:r>
        <w:t>TradingBible LLC is a Delaware limited liability company formed August 10, 2026, under Delaware file number 10728395. Its registered agent is A Registered Agent, Inc., 8 The Green, Suite A, Dover, Delaware 19901. The Company operates the TradingBible technology platform at tradingbible.app.</w:t>
      </w:r>
    </w:p>
    <w:p>
      <w:pPr>
        <w:pStyle w:val="Heading1"/>
      </w:pPr>
      <w:r>
        <w:t>2.  Authority and interpretation</w:t>
      </w:r>
    </w:p>
    <w:p>
      <w:r>
        <w:t>This instrument is subject to the Company’s effective Operating Agreement, applicable law, contractual obligations, and approvals reserved to members. Malik Nlem is identified as Chief Executive Manager in the Company records. No provision authorizes activity requiring a license, registration, or regulatory consent that has not been obtained.</w:t>
      </w:r>
    </w:p>
    <w:p>
      <w:pPr>
        <w:pStyle w:val="Heading1"/>
      </w:pPr>
      <w:r>
        <w:t>3.  Market selection</w:t>
      </w:r>
    </w:p>
    <w:p>
      <w:r>
        <w:t>The Company shall compare prospective exchanges and listing standards for capitalization, public float, shareholders, share price, governance and financial eligibility. No exchange or ticker approval is represented as obtained.</w:t>
      </w:r>
    </w:p>
    <w:p>
      <w:pPr>
        <w:pStyle w:val="Heading1"/>
      </w:pPr>
      <w:r>
        <w:t>4.  Transaction parties</w:t>
      </w:r>
    </w:p>
    <w:p>
      <w:r>
        <w:t>If an IPO is pursued, management shall engage appropriate underwriters or placement advisers, legal counsel, auditors, a transfer agent and other service providers as required.</w:t>
      </w:r>
    </w:p>
    <w:p>
      <w:pPr>
        <w:pStyle w:val="Heading1"/>
      </w:pPr>
      <w:r>
        <w:t>5.  Offering process</w:t>
      </w:r>
    </w:p>
    <w:p>
      <w:r>
        <w:t>The transaction team shall coordinate diligence, registration preparation, regulatory review, pricing authority, exchange approval, securities settlement and closing funds flow.</w:t>
      </w:r>
    </w:p>
    <w:p>
      <w:pPr>
        <w:pStyle w:val="Heading1"/>
      </w:pPr>
      <w:r>
        <w:t>6.  Closing conditions</w:t>
      </w:r>
    </w:p>
    <w:p>
      <w:r>
        <w:t>No closing may occur before required approvals, effectiveness and other transaction conditions are satisfied. The board shall separately approve final transaction terms.</w:t>
      </w:r>
    </w:p>
    <w:p>
      <w:pPr>
        <w:pStyle w:val="Heading1"/>
      </w:pPr>
      <w:r>
        <w:t>7.  Post-listing obligations</w:t>
      </w:r>
    </w:p>
    <w:p>
      <w:r>
        <w:t>The public issuer shall implement periodic and current reporting, annual meeting processes, shareholder communications, insider reporting and market-disclosure procedures as applicable.</w:t>
      </w:r>
    </w:p>
    <w:p>
      <w:r>
        <w:br w:type="page"/>
      </w:r>
    </w:p>
    <w:p>
      <w:pPr>
        <w:pStyle w:val="Heading1"/>
      </w:pPr>
      <w:r>
        <w:t>Execution and signature record</w:t>
      </w:r>
    </w:p>
    <w:tbl>
      <w:tblPr>
        <w:tblW w:type="auto" w:w="0"/>
        <w:tblLayout w:type="fixed"/>
        <w:tblLook w:firstColumn="1" w:firstRow="1" w:lastColumn="0" w:lastRow="0" w:noHBand="0" w:noVBand="1" w:val="04A0"/>
      </w:tblPr>
      <w:tblGrid>
        <w:gridCol w:w="4320"/>
        <w:gridCol w:w="504"/>
        <w:gridCol w:w="4320"/>
      </w:tblGrid>
      <w:tr>
        <w:tc>
          <w:tcPr>
            <w:tcW w:type="dxa" w:w="3331"/>
          </w:tcPr>
          <w:p>
            <w:pPr>
              <w:spacing w:before="0" w:after="60" w:line="252" w:lineRule="auto"/>
            </w:pPr>
            <w:r>
              <w:rPr>
                <w:rFonts w:ascii="Arial" w:hAnsi="Arial"/>
                <w:b/>
                <w:color w:val="8A6714"/>
                <w:sz w:val="17"/>
              </w:rPr>
              <w:t>TB EXECUTION 07 - AUTHORIZED SIGNATORY</w:t>
            </w:r>
          </w:p>
          <w:p>
            <w:pPr>
              <w:spacing w:before="0" w:after="60" w:line="252" w:lineRule="auto"/>
            </w:pPr>
            <w:r>
              <w:rPr>
                <w:rFonts w:ascii="Arial" w:hAnsi="Arial"/>
                <w:b w:val="0"/>
                <w:color w:val="222222"/>
                <w:sz w:val="18"/>
              </w:rPr>
              <w:t>Malik Nlem</w:t>
            </w:r>
          </w:p>
          <w:p>
            <w:pPr>
              <w:spacing w:before="0" w:after="60" w:line="252" w:lineRule="auto"/>
            </w:pPr>
            <w:r>
              <w:rPr>
                <w:rFonts w:ascii="Arial" w:hAnsi="Arial"/>
                <w:b w:val="0"/>
                <w:color w:val="222222"/>
                <w:sz w:val="18"/>
              </w:rPr>
              <w:t>Capacity: Chief Executive Manager</w:t>
            </w:r>
          </w:p>
          <w:p>
            <w:pPr>
              <w:spacing w:before="0" w:after="60" w:line="252" w:lineRule="auto"/>
            </w:pPr>
            <w:r>
              <w:rPr>
                <w:rFonts w:ascii="Arial" w:hAnsi="Arial"/>
                <w:b w:val="0"/>
                <w:color w:val="222222"/>
                <w:sz w:val="18"/>
              </w:rPr>
              <w:t>Issuer capacity: __________________</w:t>
            </w:r>
          </w:p>
          <w:p>
            <w:pPr>
              <w:spacing w:before="0" w:after="60" w:line="252" w:lineRule="auto"/>
            </w:pPr>
            <w:r>
              <w:rPr>
                <w:rFonts w:ascii="Arial" w:hAnsi="Arial"/>
                <w:b w:val="0"/>
                <w:color w:val="222222"/>
                <w:sz w:val="18"/>
              </w:rPr>
              <w:t>Issuer signature: __________________</w:t>
            </w:r>
          </w:p>
          <w:p>
            <w:pPr>
              <w:spacing w:before="0" w:after="60" w:line="252" w:lineRule="auto"/>
            </w:pPr>
            <w:r>
              <w:rPr>
                <w:rFonts w:ascii="Arial" w:hAnsi="Arial"/>
                <w:b w:val="0"/>
                <w:color w:val="222222"/>
                <w:sz w:val="18"/>
              </w:rPr>
              <w:t>Issuer printed name: ______________</w:t>
            </w:r>
          </w:p>
          <w:p>
            <w:pPr>
              <w:spacing w:before="0" w:after="60" w:line="252" w:lineRule="auto"/>
            </w:pPr>
            <w:r>
              <w:rPr>
                <w:rFonts w:ascii="Arial" w:hAnsi="Arial"/>
                <w:b w:val="0"/>
                <w:color w:val="222222"/>
                <w:sz w:val="18"/>
              </w:rPr>
              <w:t>Issuer date: ______________________</w:t>
            </w:r>
          </w:p>
        </w:tc>
        <w:tc>
          <w:tcPr>
            <w:tcW w:type="dxa" w:w="3331"/>
          </w:tcPr>
          <w:p>
            <w:r/>
          </w:p>
        </w:tc>
        <w:tc>
          <w:tcPr>
            <w:tcW w:type="dxa" w:w="3331"/>
          </w:tcPr>
          <w:p>
            <w:pPr>
              <w:spacing w:before="0" w:after="60" w:line="252" w:lineRule="auto"/>
            </w:pPr>
            <w:r>
              <w:rPr>
                <w:rFonts w:ascii="Arial" w:hAnsi="Arial"/>
                <w:b/>
                <w:color w:val="8A6714"/>
                <w:sz w:val="17"/>
              </w:rPr>
              <w:t>TB EXECUTION 07 - OPTIONAL SIGNATORY</w:t>
            </w:r>
          </w:p>
          <w:p>
            <w:pPr>
              <w:spacing w:before="0" w:after="60" w:line="252" w:lineRule="auto"/>
            </w:pPr>
            <w:r>
              <w:rPr>
                <w:rFonts w:ascii="Arial" w:hAnsi="Arial"/>
                <w:b w:val="0"/>
                <w:color w:val="222222"/>
                <w:sz w:val="18"/>
              </w:rPr>
              <w:t>Additional Authorized Signatory (if required)</w:t>
            </w:r>
          </w:p>
          <w:p>
            <w:pPr>
              <w:spacing w:before="0" w:after="60" w:line="252" w:lineRule="auto"/>
            </w:pPr>
            <w:r>
              <w:rPr>
                <w:rFonts w:ascii="Arial" w:hAnsi="Arial"/>
                <w:b w:val="0"/>
                <w:color w:val="222222"/>
                <w:sz w:val="18"/>
              </w:rPr>
              <w:t>Capacity: Authorized Signatory</w:t>
            </w:r>
          </w:p>
          <w:p>
            <w:pPr>
              <w:spacing w:before="0" w:after="60" w:line="252" w:lineRule="auto"/>
            </w:pPr>
            <w:r>
              <w:rPr>
                <w:rFonts w:ascii="Arial" w:hAnsi="Arial"/>
                <w:b w:val="0"/>
                <w:color w:val="222222"/>
                <w:sz w:val="18"/>
              </w:rPr>
              <w:t>Additional capacity: ______________</w:t>
            </w:r>
          </w:p>
          <w:p>
            <w:pPr>
              <w:spacing w:before="0" w:after="60" w:line="252" w:lineRule="auto"/>
            </w:pPr>
            <w:r>
              <w:rPr>
                <w:rFonts w:ascii="Arial" w:hAnsi="Arial"/>
                <w:b w:val="0"/>
                <w:color w:val="222222"/>
                <w:sz w:val="18"/>
              </w:rPr>
              <w:t>Additional signature: ______________</w:t>
            </w:r>
          </w:p>
          <w:p>
            <w:pPr>
              <w:spacing w:before="0" w:after="60" w:line="252" w:lineRule="auto"/>
            </w:pPr>
            <w:r>
              <w:rPr>
                <w:rFonts w:ascii="Arial" w:hAnsi="Arial"/>
                <w:b w:val="0"/>
                <w:color w:val="222222"/>
                <w:sz w:val="18"/>
              </w:rPr>
              <w:t>Additional printed name: __________</w:t>
            </w:r>
          </w:p>
          <w:p>
            <w:pPr>
              <w:spacing w:before="0" w:after="60" w:line="252" w:lineRule="auto"/>
            </w:pPr>
            <w:r>
              <w:rPr>
                <w:rFonts w:ascii="Arial" w:hAnsi="Arial"/>
                <w:b w:val="0"/>
                <w:color w:val="222222"/>
                <w:sz w:val="18"/>
              </w:rPr>
              <w:t>Additional date: __________________</w:t>
            </w:r>
          </w:p>
        </w:tc>
      </w:tr>
    </w:tbl>
    <w:sectPr w:rsidR="00FC693F" w:rsidRPr="0006063C" w:rsidSect="00034616">
      <w:headerReference w:type="default" r:id="rId9"/>
      <w:footerReference w:type="default" r:id="rId11"/>
      <w:pgSz w:w="12240" w:h="15840"/>
      <w:pgMar w:top="1037" w:right="1123" w:bottom="1008" w:left="1123" w:header="475"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TRADINGBIBLE LLC   •   tradingbible.app   •   Instrument 07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TRADINGBIBLE  /  LEGAL INSTRUMENTS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B1E2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1E25"/>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1E25"/>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