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IPO Due Diligence and Evidence Governance</w:t>
      </w:r>
    </w:p>
    <w:p>
      <w:r>
        <w:t>INSTRUMENT 08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Data room structure</w:t>
      </w:r>
    </w:p>
    <w:p>
      <w:r>
        <w:t>The diligence room shall be organized into corporate records, capitalization, financials, tax, commercial contracts, intellectual property, employment, cybersecurity, regulatory, litigation, token matters, brokerage matters and transaction documents.</w:t>
      </w:r>
    </w:p>
    <w:p>
      <w:pPr>
        <w:pStyle w:val="Heading1"/>
      </w:pPr>
      <w:r>
        <w:t>4.  Evidence quality</w:t>
      </w:r>
    </w:p>
    <w:p>
      <w:r>
        <w:t>Each submitted record shall have a reliable source, date, custodian, version history and relevant approvals. Unverified claims shall not be treated as established facts.</w:t>
      </w:r>
    </w:p>
    <w:p>
      <w:pPr>
        <w:pStyle w:val="Heading1"/>
      </w:pPr>
      <w:r>
        <w:t>5.  Confidentiality</w:t>
      </w:r>
    </w:p>
    <w:p>
      <w:r>
        <w:t>Access shall be role-based, logged and restricted to legitimate diligence purposes. Sensitive personal information, customer data and trade secrets shall be redacted or otherwise protected.</w:t>
      </w:r>
    </w:p>
    <w:p>
      <w:pPr>
        <w:pStyle w:val="Heading1"/>
      </w:pPr>
      <w:r>
        <w:t>6.  Responsibility</w:t>
      </w:r>
    </w:p>
    <w:p>
      <w:r>
        <w:t>The Chief Executive Manager shall coordinate management responses and professional advisers. Audit opinions, legal opinions and regulatory filings must be prepared or validated by the professionals authorized to provide them.</w:t>
      </w:r>
    </w:p>
    <w:p>
      <w:pPr>
        <w:pStyle w:val="Heading1"/>
      </w:pPr>
      <w:r>
        <w:t>7.  Completion</w:t>
      </w:r>
    </w:p>
    <w:p>
      <w:r>
        <w:t>A transaction-specific closing index shall identify each required executed document, filing receipt, approval and outstanding condition.</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08 -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08 -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