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Public Company Governance and Ethics Charter</w:t>
      </w:r>
    </w:p>
    <w:p>
      <w:r>
        <w:t>INSTRUMENT 06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Board oversight</w:t>
      </w:r>
    </w:p>
    <w:p>
      <w:r>
        <w:t>A future public issuer shall establish a board and committee structure meeting the requirements of its chosen market and applicable law. Director independence and qualifications must be verified before appointment.</w:t>
      </w:r>
    </w:p>
    <w:p>
      <w:pPr>
        <w:pStyle w:val="Heading1"/>
      </w:pPr>
      <w:r>
        <w:t>4.  Committees</w:t>
      </w:r>
    </w:p>
    <w:p>
      <w:r>
        <w:t>Audit, compensation and nominating or governance committees shall be established where required, with written charters and appropriate independence and oversight arrangements.</w:t>
      </w:r>
    </w:p>
    <w:p>
      <w:pPr>
        <w:pStyle w:val="Heading1"/>
      </w:pPr>
      <w:r>
        <w:t>5.  Ethics and conflicts</w:t>
      </w:r>
    </w:p>
    <w:p>
      <w:r>
        <w:t>Directors, executives and employees shall disclose material conflicts, protect confidential information and avoid improper personal benefits from Company opportunities. Related-party transactions shall receive independent review.</w:t>
      </w:r>
    </w:p>
    <w:p>
      <w:pPr>
        <w:pStyle w:val="Heading1"/>
      </w:pPr>
      <w:r>
        <w:t>6.  Insider trading controls</w:t>
      </w:r>
    </w:p>
    <w:p>
      <w:r>
        <w:t>The issuer shall adopt trading windows, preclearance, information barriers and reporting processes appropriate to applicable securities laws, including insider and beneficial-ownership reporting where required.</w:t>
      </w:r>
    </w:p>
    <w:p>
      <w:pPr>
        <w:pStyle w:val="Heading1"/>
      </w:pPr>
      <w:r>
        <w:t>7.  Disclosure responsibility</w:t>
      </w:r>
    </w:p>
    <w:p>
      <w:r>
        <w:t>Management shall establish a disclosure committee or equivalent process to verify public reporting, assess material developments and coordinate timely required filings.</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06 -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06 -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