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SEC Registration and Prospectus Preparation Standard</w:t>
      </w:r>
    </w:p>
    <w:p>
      <w:r>
        <w:t>INSTRUMENT 04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Registration strategy</w:t>
      </w:r>
    </w:p>
    <w:p>
      <w:r>
        <w:t>U.S. securities counsel shall determine the appropriate registration form, reporting status, filing sequence, permitted communications and any available exemptions. A Form S-1 may be relevant but is not presumed suitable in all circumstances.</w:t>
      </w:r>
    </w:p>
    <w:p>
      <w:pPr>
        <w:pStyle w:val="Heading1"/>
      </w:pPr>
      <w:r>
        <w:t>4.  Disclosure integrity</w:t>
      </w:r>
    </w:p>
    <w:p>
      <w:r>
        <w:t>The prospectus and registration statement must accurately address the business, risk factors, use of proceeds, management, capitalization, related parties, legal proceedings, financial statements and management discussion and analysis as applicable.</w:t>
      </w:r>
    </w:p>
    <w:p>
      <w:pPr>
        <w:pStyle w:val="Heading1"/>
      </w:pPr>
      <w:r>
        <w:t>5.  Verification</w:t>
      </w:r>
    </w:p>
    <w:p>
      <w:r>
        <w:t>All quantitative claims shall be supported by reconciled company records. Statements about licenses, customer accounts, growth, profitability, token functionality and market coverage must be checked against current evidence.</w:t>
      </w:r>
    </w:p>
    <w:p>
      <w:pPr>
        <w:pStyle w:val="Heading1"/>
      </w:pPr>
      <w:r>
        <w:t>6.  Regulatory review</w:t>
      </w:r>
    </w:p>
    <w:p>
      <w:r>
        <w:t>Only authorized advisers shall coordinate submissions, amendments and responses to SEC comments. An effective registration statement does not itself guarantee exchange listing or commercial success.</w:t>
      </w:r>
    </w:p>
    <w:p>
      <w:pPr>
        <w:pStyle w:val="Heading1"/>
      </w:pPr>
      <w:r>
        <w:t>7.  Communication controls</w:t>
      </w:r>
    </w:p>
    <w:p>
      <w:r>
        <w:t>Public statements, investor presentations and offering communications shall be reviewed for consistency with applicable securities rules and filed disclosures.</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04 -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04 -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