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Title"/>
        <w:rPr/>
      </w:pPr>
      <w:r>
        <w:rPr/>
        <w:t>PROJECT DOCUMENTATION</w:t>
      </w:r>
    </w:p>
    <w:p>
      <w:pPr>
        <w:pStyle w:val="Normal"/>
        <w:spacing w:before="480" w:after="240"/>
        <w:jc w:val="center"/>
        <w:rPr/>
      </w:pPr>
      <w:r>
        <w:rPr>
          <w:b/>
          <w:bCs/>
          <w:color w:val="2C5282"/>
          <w:sz w:val="40"/>
          <w:szCs w:val="40"/>
        </w:rPr>
        <w:t>FraudShield Analytics</w:t>
      </w:r>
    </w:p>
    <w:p>
      <w:pPr>
        <w:pStyle w:val="Normal"/>
        <w:spacing w:before="120" w:after="0"/>
        <w:jc w:val="center"/>
        <w:rPr/>
      </w:pPr>
      <w:r>
        <w:rPr>
          <w:color w:val="666666"/>
          <w:sz w:val="28"/>
          <w:szCs w:val="28"/>
        </w:rPr>
        <w:t>Credit Card Fraud Detection System</w:t>
      </w:r>
    </w:p>
    <w:p>
      <w:pPr>
        <w:pStyle w:val="Normal"/>
        <w:spacing w:before="960" w:after="0"/>
        <w:rPr/>
      </w:pPr>
      <w:r>
        <w:rPr/>
      </w:r>
    </w:p>
    <w:p>
      <w:pPr>
        <w:pStyle w:val="Normal"/>
        <w:jc w:val="center"/>
        <w:rPr/>
      </w:pPr>
      <w:r>
        <w:rPr>
          <w:b/>
          <w:bCs/>
          <w:color w:val="1E3A5F"/>
          <w:sz w:val="28"/>
          <w:szCs w:val="28"/>
        </w:rPr>
        <w:t>Muhammad Ali Tahir</w:t>
      </w:r>
    </w:p>
    <w:p>
      <w:pPr>
        <w:pStyle w:val="Normal"/>
        <w:spacing w:before="60" w:after="0"/>
        <w:jc w:val="center"/>
        <w:rPr/>
      </w:pPr>
      <w:r>
        <w:rPr>
          <w:sz w:val="22"/>
          <w:szCs w:val="22"/>
        </w:rPr>
        <w:t>MS Data Science | Superior University</w:t>
      </w:r>
    </w:p>
    <w:p>
      <w:pPr>
        <w:pStyle w:val="Normal"/>
        <w:spacing w:before="480" w:after="0"/>
        <w:rPr/>
      </w:pPr>
      <w:r>
        <w:rPr/>
      </w:r>
    </w:p>
    <w:p>
      <w:pPr>
        <w:pStyle w:val="Normal"/>
        <w:jc w:val="center"/>
        <w:rPr/>
      </w:pPr>
      <w:r>
        <w:rPr>
          <w:sz w:val="24"/>
          <w:szCs w:val="24"/>
        </w:rPr>
        <w:t>Supervisor: Mr. Talha Nadeem</w:t>
      </w:r>
    </w:p>
    <w:p>
      <w:pPr>
        <w:pStyle w:val="Normal"/>
        <w:spacing w:before="720" w:after="0"/>
        <w:rPr/>
      </w:pPr>
      <w:r>
        <w:rPr/>
      </w:r>
    </w:p>
    <w:p>
      <w:pPr>
        <w:pStyle w:val="Normal"/>
        <w:jc w:val="center"/>
        <w:rPr/>
      </w:pPr>
      <w:r>
        <w:rPr>
          <w:color w:val="666666"/>
          <w:sz w:val="22"/>
          <w:szCs w:val="22"/>
        </w:rPr>
        <w:t>Version 1.0 | January 2026</w:t>
      </w:r>
    </w:p>
    <w:p>
      <w:pPr>
        <w:pStyle w:val="Normal"/>
        <w:rPr/>
      </w:pPr>
      <w:r>
        <w:rPr/>
      </w:r>
      <w:r>
        <w:br w:type="page"/>
      </w:r>
    </w:p>
    <w:p>
      <w:pPr>
        <w:pStyle w:val="Heading1"/>
        <w:rPr/>
      </w:pPr>
      <w:r>
        <w:rPr/>
        <w:t>1. Introduction</w:t>
      </w:r>
    </w:p>
    <w:p>
      <w:pPr>
        <w:pStyle w:val="Normal"/>
        <w:spacing w:before="0" w:after="200"/>
        <w:rPr/>
      </w:pPr>
      <w:r>
        <w:rPr/>
        <w:t>FraudShield is an advanced credit card fraud detection system that leverages deep learning techniques to identify fraudulent transactions with high accuracy. The system addresses the critical challenge of detecting rare fraudulent activities within massive volumes of legitimate transactions.</w:t>
      </w:r>
    </w:p>
    <w:p>
      <w:pPr>
        <w:pStyle w:val="Normal"/>
        <w:spacing w:before="0" w:after="200"/>
        <w:rPr/>
      </w:pPr>
      <w:r>
        <w:rPr/>
        <w:t>Payment systems have undergone a remarkable transformation over the past two decades. Credit cards now facilitate everything from morning coffee runs to international e-commerce orders. Yet alongside these benefits lurks a growing threat - criminals have developed increasingly sophisticated methods for exploiting digital payment infrastructure. Industry analysts estimate card fraud losses reached $32.34 billion globally during 2023.</w:t>
      </w:r>
    </w:p>
    <w:p>
      <w:pPr>
        <w:pStyle w:val="Heading2"/>
        <w:rPr/>
      </w:pPr>
      <w:r>
        <w:rPr/>
        <w:t>1.1 Project Background</w:t>
      </w:r>
    </w:p>
    <w:p>
      <w:pPr>
        <w:pStyle w:val="Normal"/>
        <w:spacing w:before="0" w:after="200"/>
        <w:rPr/>
      </w:pPr>
      <w:r>
        <w:rPr/>
        <w:t>The fundamental difficulty with fraud detection lies in its extreme rarity - banks process thousands of transactions for every single fraudulent one. Any system that simply flags everything unusual would drown investigators in false alarms, while one calibrated too conservatively would let criminals operate freely. This project addresses this challenge through a neural network trained specifically for extreme class imbalance scenarios.</w:t>
      </w:r>
    </w:p>
    <w:p>
      <w:pPr>
        <w:pStyle w:val="Heading2"/>
        <w:rPr/>
      </w:pPr>
      <w:r>
        <w:rPr/>
        <w:t>1.2 Document Purpose</w:t>
      </w:r>
    </w:p>
    <w:p>
      <w:pPr>
        <w:pStyle w:val="Normal"/>
        <w:spacing w:before="0" w:after="200"/>
        <w:rPr/>
      </w:pPr>
      <w:r>
        <w:rPr/>
        <w:t>This document provides comprehensive technical and operational documentation for the FraudShield system, including objectives, technology stack, development methodology, and implementation guidelines.</w:t>
      </w:r>
    </w:p>
    <w:p>
      <w:pPr>
        <w:pStyle w:val="Heading1"/>
        <w:rPr/>
      </w:pPr>
      <w:r>
        <w:rPr/>
        <w:t>2. Project Objectives</w:t>
      </w:r>
    </w:p>
    <w:p>
      <w:pPr>
        <w:pStyle w:val="Heading2"/>
        <w:rPr/>
      </w:pPr>
      <w:r>
        <w:rPr/>
        <w:t>2.1 Primary Objectives</w:t>
      </w:r>
    </w:p>
    <w:p>
      <w:pPr>
        <w:pStyle w:val="ListParagraph"/>
        <w:numPr>
          <w:ilvl w:val="0"/>
          <w:numId w:val="4"/>
        </w:numPr>
        <w:spacing w:before="0" w:after="100"/>
        <w:rPr/>
      </w:pPr>
      <w:r>
        <w:rPr>
          <w:b/>
          <w:bCs/>
        </w:rPr>
        <w:t xml:space="preserve">High-Accuracy Detection: </w:t>
      </w:r>
      <w:r>
        <w:rPr/>
        <w:t>Develop a fraud detection model achieving ROC-AUC &gt; 0.9</w:t>
      </w:r>
      <w:r>
        <w:rPr/>
        <w:t>5</w:t>
      </w:r>
      <w:r>
        <w:rPr/>
        <w:t>, ensuring near-perfect discrimination between fraudulent and legitimate transactions.</w:t>
      </w:r>
    </w:p>
    <w:p>
      <w:pPr>
        <w:pStyle w:val="ListParagraph"/>
        <w:numPr>
          <w:ilvl w:val="0"/>
          <w:numId w:val="1"/>
        </w:numPr>
        <w:spacing w:before="0" w:after="100"/>
        <w:rPr/>
      </w:pPr>
      <w:r>
        <w:rPr>
          <w:b/>
          <w:bCs/>
        </w:rPr>
        <w:t xml:space="preserve">Interpretable Results: </w:t>
      </w:r>
      <w:r>
        <w:rPr/>
        <w:t>Utilize transparent, interpretable features that enable understanding of fraud patterns and support regulatory compliance.</w:t>
      </w:r>
    </w:p>
    <w:p>
      <w:pPr>
        <w:pStyle w:val="ListParagraph"/>
        <w:numPr>
          <w:ilvl w:val="0"/>
          <w:numId w:val="1"/>
        </w:numPr>
        <w:spacing w:before="0" w:after="100"/>
        <w:rPr/>
      </w:pPr>
      <w:r>
        <w:rPr>
          <w:b/>
          <w:bCs/>
        </w:rPr>
        <w:t xml:space="preserve">Real-Time Processing: </w:t>
      </w:r>
      <w:r>
        <w:rPr/>
        <w:t>Build a system capable of analyzing transactions in milliseconds for real-time fraud prevention.</w:t>
      </w:r>
    </w:p>
    <w:p>
      <w:pPr>
        <w:pStyle w:val="ListParagraph"/>
        <w:numPr>
          <w:ilvl w:val="0"/>
          <w:numId w:val="1"/>
        </w:numPr>
        <w:spacing w:before="0" w:after="200"/>
        <w:rPr/>
      </w:pPr>
      <w:r>
        <w:rPr>
          <w:b/>
          <w:bCs/>
        </w:rPr>
        <w:t xml:space="preserve">Interactive Dashboard: </w:t>
      </w:r>
      <w:r>
        <w:rPr/>
        <w:t>Create the FraudShield Analytics Dashboard for single and batch transaction analysis with business impact visualization.</w:t>
      </w:r>
    </w:p>
    <w:p>
      <w:pPr>
        <w:pStyle w:val="Heading2"/>
        <w:rPr/>
      </w:pPr>
      <w:r>
        <w:rPr/>
        <w:t>2.2 Technical Objectives</w:t>
      </w:r>
    </w:p>
    <w:p>
      <w:pPr>
        <w:pStyle w:val="ListParagraph"/>
        <w:numPr>
          <w:ilvl w:val="0"/>
          <w:numId w:val="5"/>
        </w:numPr>
        <w:spacing w:before="0" w:after="100"/>
        <w:rPr/>
      </w:pPr>
      <w:r>
        <w:rPr/>
        <w:t>Handle extreme class imbalance (1:172 fraud-to-legitimate ratio)</w:t>
      </w:r>
    </w:p>
    <w:p>
      <w:pPr>
        <w:pStyle w:val="ListParagraph"/>
        <w:numPr>
          <w:ilvl w:val="0"/>
          <w:numId w:val="2"/>
        </w:numPr>
        <w:spacing w:before="0" w:after="100"/>
        <w:rPr/>
      </w:pPr>
      <w:r>
        <w:rPr/>
        <w:t>Achieve Precision &gt; 85% and Recall &gt; 75% at optimal threshold</w:t>
      </w:r>
    </w:p>
    <w:p>
      <w:pPr>
        <w:pStyle w:val="ListParagraph"/>
        <w:numPr>
          <w:ilvl w:val="0"/>
          <w:numId w:val="2"/>
        </w:numPr>
        <w:spacing w:before="0" w:after="100"/>
        <w:rPr/>
      </w:pPr>
      <w:r>
        <w:rPr/>
        <w:t>Implement comprehensive threshold optimization for deployment flexibility</w:t>
      </w:r>
    </w:p>
    <w:p>
      <w:pPr>
        <w:pStyle w:val="ListParagraph"/>
        <w:numPr>
          <w:ilvl w:val="0"/>
          <w:numId w:val="2"/>
        </w:numPr>
        <w:spacing w:before="0" w:after="200"/>
        <w:rPr/>
      </w:pPr>
      <w:r>
        <w:rPr/>
        <w:t>Develop reusable feature engineering pipeline</w:t>
      </w:r>
    </w:p>
    <w:p>
      <w:pPr>
        <w:pStyle w:val="Heading1"/>
        <w:rPr/>
      </w:pPr>
      <w:r>
        <w:rPr/>
        <w:t>3. Technology Benefits</w:t>
      </w:r>
    </w:p>
    <w:p>
      <w:pPr>
        <w:pStyle w:val="Heading2"/>
        <w:rPr/>
      </w:pPr>
      <w:r>
        <w:rPr/>
        <w:t>3.1 Deep Learning Advantages</w:t>
      </w:r>
    </w:p>
    <w:p>
      <w:pPr>
        <w:pStyle w:val="ListParagraph"/>
        <w:numPr>
          <w:ilvl w:val="0"/>
          <w:numId w:val="2"/>
        </w:numPr>
        <w:spacing w:before="0" w:after="100"/>
        <w:rPr/>
      </w:pPr>
      <w:r>
        <w:rPr>
          <w:b/>
          <w:bCs/>
        </w:rPr>
        <w:t xml:space="preserve">Automatic Feature Learning: </w:t>
      </w:r>
      <w:r>
        <w:rPr/>
        <w:t>Neural networks discover complex, non-linear patterns directly from data without manual feature engineering.</w:t>
      </w:r>
    </w:p>
    <w:p>
      <w:pPr>
        <w:pStyle w:val="ListParagraph"/>
        <w:numPr>
          <w:ilvl w:val="0"/>
          <w:numId w:val="2"/>
        </w:numPr>
        <w:spacing w:before="0" w:after="100"/>
        <w:rPr/>
      </w:pPr>
      <w:r>
        <w:rPr>
          <w:b/>
          <w:bCs/>
        </w:rPr>
        <w:t xml:space="preserve">Adaptability: </w:t>
      </w:r>
      <w:r>
        <w:rPr/>
        <w:t>Models can be retrained to detect new fraud patterns as criminals evolve their tactics.</w:t>
      </w:r>
    </w:p>
    <w:p>
      <w:pPr>
        <w:pStyle w:val="ListParagraph"/>
        <w:numPr>
          <w:ilvl w:val="0"/>
          <w:numId w:val="2"/>
        </w:numPr>
        <w:spacing w:before="0" w:after="100"/>
        <w:rPr/>
      </w:pPr>
      <w:r>
        <w:rPr>
          <w:b/>
          <w:bCs/>
        </w:rPr>
        <w:t xml:space="preserve">Scalability: </w:t>
      </w:r>
      <w:r>
        <w:rPr/>
        <w:t>GPU-accelerated training enables processing of millions of transactions efficiently.</w:t>
      </w:r>
    </w:p>
    <w:p>
      <w:pPr>
        <w:pStyle w:val="ListParagraph"/>
        <w:numPr>
          <w:ilvl w:val="0"/>
          <w:numId w:val="2"/>
        </w:numPr>
        <w:spacing w:before="0" w:after="200"/>
        <w:rPr/>
      </w:pPr>
      <w:r>
        <w:rPr>
          <w:b/>
          <w:bCs/>
        </w:rPr>
        <w:t xml:space="preserve">Probabilistic Outputs: </w:t>
      </w:r>
      <w:r>
        <w:rPr/>
        <w:t>Continuous probability scores enable flexible threshold selection based on business requirements.</w:t>
      </w:r>
    </w:p>
    <w:p>
      <w:pPr>
        <w:pStyle w:val="Heading2"/>
        <w:rPr/>
      </w:pPr>
      <w:r>
        <w:rPr/>
        <w:t>3.2 Interpretable Features</w:t>
      </w:r>
    </w:p>
    <w:p>
      <w:pPr>
        <w:pStyle w:val="Normal"/>
        <w:spacing w:before="0" w:after="200"/>
        <w:rPr/>
      </w:pPr>
      <w:r>
        <w:rPr/>
        <w:t>Unlike anonymized datasets where features bear opaque labels (V1, V2...V28), FraudShield preserves meaningful attribute names. Transaction amounts, merchant categories, timestamps, and customer demographics remain accessible for analysis. This transparency enables:</w:t>
      </w:r>
    </w:p>
    <w:p>
      <w:pPr>
        <w:pStyle w:val="ListParagraph"/>
        <w:numPr>
          <w:ilvl w:val="0"/>
          <w:numId w:val="2"/>
        </w:numPr>
        <w:spacing w:before="0" w:after="100"/>
        <w:rPr/>
      </w:pPr>
      <w:r>
        <w:rPr/>
        <w:t>Understanding of actual fraud mechanisms and patterns</w:t>
      </w:r>
    </w:p>
    <w:p>
      <w:pPr>
        <w:pStyle w:val="ListParagraph"/>
        <w:numPr>
          <w:ilvl w:val="0"/>
          <w:numId w:val="2"/>
        </w:numPr>
        <w:spacing w:before="0" w:after="100"/>
        <w:rPr/>
      </w:pPr>
      <w:r>
        <w:rPr/>
        <w:t>Regulatory compliance through explainable predictions</w:t>
      </w:r>
    </w:p>
    <w:p>
      <w:pPr>
        <w:pStyle w:val="ListParagraph"/>
        <w:numPr>
          <w:ilvl w:val="0"/>
          <w:numId w:val="2"/>
        </w:numPr>
        <w:spacing w:before="0" w:after="200"/>
        <w:rPr/>
      </w:pPr>
      <w:r>
        <w:rPr/>
        <w:t>Business insights for policy development and customer communication</w:t>
      </w:r>
    </w:p>
    <w:p>
      <w:pPr>
        <w:pStyle w:val="Heading1"/>
        <w:rPr/>
      </w:pPr>
      <w:r>
        <w:rPr/>
        <w:t>4. Business Benefits</w:t>
      </w:r>
    </w:p>
    <w:p>
      <w:pPr>
        <w:pStyle w:val="Heading2"/>
        <w:rPr/>
      </w:pPr>
      <w:r>
        <w:rPr/>
        <w:t>4.1 Financial Impact</w:t>
      </w:r>
    </w:p>
    <w:tbl>
      <w:tblPr>
        <w:tblW w:w="9360" w:type="dxa"/>
        <w:jc w:val="left"/>
        <w:tblInd w:w="0" w:type="dxa"/>
        <w:tblLayout w:type="fixed"/>
        <w:tblCellMar>
          <w:top w:w="0" w:type="dxa"/>
          <w:left w:w="108" w:type="dxa"/>
          <w:bottom w:w="0" w:type="dxa"/>
          <w:right w:w="108"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27AE60" w:val="clear"/>
          </w:tcPr>
          <w:p>
            <w:pPr>
              <w:pStyle w:val="Normal"/>
              <w:widowControl w:val="false"/>
              <w:jc w:val="center"/>
              <w:rPr/>
            </w:pPr>
            <w:r>
              <w:rPr>
                <w:b/>
                <w:bCs/>
                <w:color w:val="FFFFFF"/>
              </w:rPr>
              <w:t>Benefit Category</w:t>
            </w:r>
          </w:p>
        </w:tc>
        <w:tc>
          <w:tcPr>
            <w:tcW w:w="4679" w:type="dxa"/>
            <w:tcBorders>
              <w:top w:val="single" w:sz="2" w:space="0" w:color="CCCCCC"/>
              <w:left w:val="single" w:sz="2" w:space="0" w:color="CCCCCC"/>
              <w:bottom w:val="single" w:sz="2" w:space="0" w:color="CCCCCC"/>
              <w:right w:val="single" w:sz="2" w:space="0" w:color="CCCCCC"/>
            </w:tcBorders>
            <w:shd w:fill="27AE60" w:val="clear"/>
          </w:tcPr>
          <w:p>
            <w:pPr>
              <w:pStyle w:val="Normal"/>
              <w:widowControl w:val="false"/>
              <w:jc w:val="center"/>
              <w:rPr/>
            </w:pPr>
            <w:r>
              <w:rPr>
                <w:b/>
                <w:bCs/>
                <w:color w:val="FFFFFF"/>
              </w:rPr>
              <w:t>Estimated Value</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Fraud Prevention (77% detection rate)</w:t>
            </w:r>
          </w:p>
        </w:tc>
        <w:tc>
          <w:tcPr>
            <w:tcW w:w="4679"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t>~$876,147 per 500K transactions</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Reduced False Positives (0.04% FPR)</w:t>
            </w:r>
          </w:p>
        </w:tc>
        <w:tc>
          <w:tcPr>
            <w:tcW w:w="4679"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t>~$1,150 investigation cost savings</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Net Benefit per Test Set</w:t>
            </w:r>
          </w:p>
        </w:tc>
        <w:tc>
          <w:tcPr>
            <w:tcW w:w="4679"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b/>
                <w:bCs/>
                <w:color w:val="27AE60"/>
              </w:rPr>
              <w:t>$611,462</w:t>
            </w:r>
          </w:p>
        </w:tc>
      </w:tr>
    </w:tbl>
    <w:p>
      <w:pPr>
        <w:pStyle w:val="Heading2"/>
        <w:spacing w:before="300" w:after="0"/>
        <w:rPr/>
      </w:pPr>
      <w:r>
        <w:rPr/>
        <w:t>4.2 Operational Benefits</w:t>
      </w:r>
    </w:p>
    <w:p>
      <w:pPr>
        <w:pStyle w:val="ListParagraph"/>
        <w:numPr>
          <w:ilvl w:val="0"/>
          <w:numId w:val="2"/>
        </w:numPr>
        <w:spacing w:before="0" w:after="100"/>
        <w:rPr/>
      </w:pPr>
      <w:r>
        <w:rPr>
          <w:b/>
          <w:bCs/>
        </w:rPr>
        <w:t xml:space="preserve">Reduced Manual Review: </w:t>
      </w:r>
      <w:r>
        <w:rPr/>
        <w:t>High precision (87.76%) means fewer false alarms requiring investigator attention</w:t>
      </w:r>
    </w:p>
    <w:p>
      <w:pPr>
        <w:pStyle w:val="ListParagraph"/>
        <w:numPr>
          <w:ilvl w:val="0"/>
          <w:numId w:val="2"/>
        </w:numPr>
        <w:spacing w:before="0" w:after="100"/>
        <w:rPr/>
      </w:pPr>
      <w:r>
        <w:rPr>
          <w:b/>
          <w:bCs/>
        </w:rPr>
        <w:t xml:space="preserve">Customer Trust: </w:t>
      </w:r>
      <w:r>
        <w:rPr/>
        <w:t>Low false positive rate minimizes legitimate transaction blocks, improving customer experience</w:t>
      </w:r>
    </w:p>
    <w:p>
      <w:pPr>
        <w:pStyle w:val="ListParagraph"/>
        <w:numPr>
          <w:ilvl w:val="0"/>
          <w:numId w:val="2"/>
        </w:numPr>
        <w:spacing w:before="0" w:after="100"/>
        <w:rPr/>
      </w:pPr>
      <w:r>
        <w:rPr>
          <w:b/>
          <w:bCs/>
        </w:rPr>
        <w:t xml:space="preserve">Regulatory Compliance: </w:t>
      </w:r>
      <w:r>
        <w:rPr/>
        <w:t>Interpretable features support audit requirements and regulatory explanations</w:t>
      </w:r>
    </w:p>
    <w:p>
      <w:pPr>
        <w:pStyle w:val="ListParagraph"/>
        <w:numPr>
          <w:ilvl w:val="0"/>
          <w:numId w:val="2"/>
        </w:numPr>
        <w:spacing w:before="0" w:after="200"/>
        <w:rPr/>
      </w:pPr>
      <w:r>
        <w:rPr>
          <w:b/>
          <w:bCs/>
        </w:rPr>
        <w:t xml:space="preserve">Actionable Insights: </w:t>
      </w:r>
      <w:r>
        <w:rPr/>
        <w:t>Identified patterns (late-night timing, online categories, high amounts) inform business rules</w:t>
      </w:r>
    </w:p>
    <w:p>
      <w:pPr>
        <w:pStyle w:val="Heading1"/>
        <w:rPr/>
      </w:pPr>
      <w:r>
        <w:rPr/>
        <w:t>5. Project Timeline</w:t>
      </w:r>
    </w:p>
    <w:p>
      <w:pPr>
        <w:pStyle w:val="Normal"/>
        <w:spacing w:before="0" w:after="200"/>
        <w:rPr/>
      </w:pPr>
      <w:r>
        <w:rPr/>
        <w:t>The following table details the project phases, tasks, and estimated hours:</w:t>
      </w:r>
    </w:p>
    <w:tbl>
      <w:tblPr>
        <w:tblW w:w="9360" w:type="dxa"/>
        <w:jc w:val="left"/>
        <w:tblInd w:w="0" w:type="dxa"/>
        <w:tblLayout w:type="fixed"/>
        <w:tblCellMar>
          <w:top w:w="0" w:type="dxa"/>
          <w:left w:w="108" w:type="dxa"/>
          <w:bottom w:w="0" w:type="dxa"/>
          <w:right w:w="108" w:type="dxa"/>
        </w:tblCellMar>
      </w:tblPr>
      <w:tblGrid>
        <w:gridCol w:w="3499"/>
        <w:gridCol w:w="4001"/>
        <w:gridCol w:w="1860"/>
      </w:tblGrid>
      <w:tr>
        <w:trPr>
          <w:tblHeader w:val="true"/>
        </w:trPr>
        <w:tc>
          <w:tcPr>
            <w:tcW w:w="3499"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jc w:val="center"/>
              <w:rPr/>
            </w:pPr>
            <w:r>
              <w:rPr>
                <w:b/>
                <w:bCs/>
                <w:color w:val="FFFFFF"/>
              </w:rPr>
              <w:t>Phase</w:t>
            </w:r>
          </w:p>
        </w:tc>
        <w:tc>
          <w:tcPr>
            <w:tcW w:w="4001"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jc w:val="center"/>
              <w:rPr/>
            </w:pPr>
            <w:r>
              <w:rPr>
                <w:b/>
                <w:bCs/>
                <w:color w:val="FFFFFF"/>
              </w:rPr>
              <w:t>Tasks</w:t>
            </w:r>
          </w:p>
        </w:tc>
        <w:tc>
          <w:tcPr>
            <w:tcW w:w="1860"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jc w:val="center"/>
              <w:rPr/>
            </w:pPr>
            <w:r>
              <w:rPr>
                <w:b/>
                <w:bCs/>
                <w:color w:val="FFFFFF"/>
              </w:rPr>
              <w:t>Hours</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Phase 1: Data Ingestion</w:t>
            </w:r>
          </w:p>
        </w:tc>
        <w:tc>
          <w:tcPr>
            <w:tcW w:w="4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Load CSV files, validate schema, quality checks</w:t>
            </w:r>
          </w:p>
        </w:tc>
        <w:tc>
          <w:tcPr>
            <w:tcW w:w="1860"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t>5</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Phase 2: Exploratory Analysis</w:t>
            </w:r>
          </w:p>
        </w:tc>
        <w:tc>
          <w:tcPr>
            <w:tcW w:w="4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Statistical analysis, visualizations, pattern discovery</w:t>
            </w:r>
          </w:p>
        </w:tc>
        <w:tc>
          <w:tcPr>
            <w:tcW w:w="1860"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t>1</w:t>
            </w:r>
            <w:r>
              <w:rPr/>
              <w:t>5</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Phase 3: Feature Engineering</w:t>
            </w:r>
          </w:p>
        </w:tc>
        <w:tc>
          <w:tcPr>
            <w:tcW w:w="4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Temporal extraction, encoding, normalization</w:t>
            </w:r>
          </w:p>
        </w:tc>
        <w:tc>
          <w:tcPr>
            <w:tcW w:w="1860"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t>1</w:t>
            </w:r>
            <w:r>
              <w:rPr/>
              <w:t>0</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Phase 4: Model Training</w:t>
            </w:r>
          </w:p>
        </w:tc>
        <w:tc>
          <w:tcPr>
            <w:tcW w:w="4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Neural network, class balancing, hyperparameter tuning</w:t>
            </w:r>
          </w:p>
        </w:tc>
        <w:tc>
          <w:tcPr>
            <w:tcW w:w="1860"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t>2</w:t>
            </w:r>
            <w:r>
              <w:rPr/>
              <w:t>5</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Phase 5: Evaluation</w:t>
            </w:r>
          </w:p>
        </w:tc>
        <w:tc>
          <w:tcPr>
            <w:tcW w:w="4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Threshold optimization, metric analysis, validation</w:t>
            </w:r>
          </w:p>
        </w:tc>
        <w:tc>
          <w:tcPr>
            <w:tcW w:w="1860"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t>1</w:t>
            </w:r>
            <w:r>
              <w:rPr/>
              <w:t>0</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Phase 6: Dashboard Development</w:t>
            </w:r>
          </w:p>
        </w:tc>
        <w:tc>
          <w:tcPr>
            <w:tcW w:w="4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FraudShield app, inference pipeline, monitoring</w:t>
            </w:r>
          </w:p>
        </w:tc>
        <w:tc>
          <w:tcPr>
            <w:tcW w:w="1860"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t>10</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Phase 7: Documentation</w:t>
            </w:r>
          </w:p>
        </w:tc>
        <w:tc>
          <w:tcPr>
            <w:tcW w:w="4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Reports, presentations, user guides</w:t>
            </w:r>
          </w:p>
        </w:tc>
        <w:tc>
          <w:tcPr>
            <w:tcW w:w="1860"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t>15</w:t>
            </w:r>
          </w:p>
        </w:tc>
      </w:tr>
      <w:tr>
        <w:trPr/>
        <w:tc>
          <w:tcPr>
            <w:tcW w:w="3499" w:type="dxa"/>
            <w:tcBorders>
              <w:top w:val="single" w:sz="2" w:space="0" w:color="CCCCCC"/>
              <w:left w:val="single" w:sz="2" w:space="0" w:color="CCCCCC"/>
              <w:bottom w:val="single" w:sz="2" w:space="0" w:color="CCCCCC"/>
              <w:right w:val="single" w:sz="2" w:space="0" w:color="CCCCCC"/>
            </w:tcBorders>
            <w:shd w:fill="F0F0F0" w:val="clear"/>
          </w:tcPr>
          <w:p>
            <w:pPr>
              <w:pStyle w:val="Normal"/>
              <w:widowControl w:val="false"/>
              <w:rPr/>
            </w:pPr>
            <w:r>
              <w:rPr>
                <w:b/>
                <w:bCs/>
              </w:rPr>
              <w:t>TOTAL</w:t>
            </w:r>
          </w:p>
        </w:tc>
        <w:tc>
          <w:tcPr>
            <w:tcW w:w="4001" w:type="dxa"/>
            <w:tcBorders>
              <w:top w:val="single" w:sz="2" w:space="0" w:color="CCCCCC"/>
              <w:left w:val="single" w:sz="2" w:space="0" w:color="CCCCCC"/>
              <w:bottom w:val="single" w:sz="2" w:space="0" w:color="CCCCCC"/>
              <w:right w:val="single" w:sz="2" w:space="0" w:color="CCCCCC"/>
            </w:tcBorders>
            <w:shd w:fill="F0F0F0" w:val="clear"/>
          </w:tcPr>
          <w:p>
            <w:pPr>
              <w:pStyle w:val="Normal"/>
              <w:widowControl w:val="false"/>
              <w:rPr/>
            </w:pPr>
            <w:r>
              <w:rPr/>
            </w:r>
          </w:p>
        </w:tc>
        <w:tc>
          <w:tcPr>
            <w:tcW w:w="1860" w:type="dxa"/>
            <w:tcBorders>
              <w:top w:val="single" w:sz="2" w:space="0" w:color="CCCCCC"/>
              <w:left w:val="single" w:sz="2" w:space="0" w:color="CCCCCC"/>
              <w:bottom w:val="single" w:sz="2" w:space="0" w:color="CCCCCC"/>
              <w:right w:val="single" w:sz="2" w:space="0" w:color="CCCCCC"/>
            </w:tcBorders>
            <w:shd w:fill="F0F0F0" w:val="clear"/>
          </w:tcPr>
          <w:p>
            <w:pPr>
              <w:pStyle w:val="Normal"/>
              <w:widowControl w:val="false"/>
              <w:jc w:val="center"/>
              <w:rPr/>
            </w:pPr>
            <w:r>
              <w:rPr>
                <w:b/>
                <w:bCs/>
              </w:rPr>
              <w:t>90</w:t>
            </w:r>
            <w:r>
              <w:rPr>
                <w:b/>
                <w:bCs/>
              </w:rPr>
              <w:t xml:space="preserve"> hrs</w:t>
            </w:r>
          </w:p>
        </w:tc>
      </w:tr>
    </w:tbl>
    <w:p>
      <w:pPr>
        <w:pStyle w:val="Heading1"/>
        <w:spacing w:before="360" w:after="0"/>
        <w:rPr/>
      </w:pPr>
      <w:r>
        <w:rPr/>
        <w:t>6. Technology Stack</w:t>
      </w:r>
    </w:p>
    <w:p>
      <w:pPr>
        <w:pStyle w:val="Heading2"/>
        <w:rPr/>
      </w:pPr>
      <w:r>
        <w:rPr/>
        <w:t>6.1 Programming Languages &amp; Frameworks</w:t>
      </w:r>
    </w:p>
    <w:tbl>
      <w:tblPr>
        <w:tblW w:w="9360" w:type="dxa"/>
        <w:jc w:val="left"/>
        <w:tblInd w:w="0" w:type="dxa"/>
        <w:tblLayout w:type="fixed"/>
        <w:tblCellMar>
          <w:top w:w="0" w:type="dxa"/>
          <w:left w:w="108" w:type="dxa"/>
          <w:bottom w:w="0" w:type="dxa"/>
          <w:right w:w="108" w:type="dxa"/>
        </w:tblCellMar>
      </w:tblPr>
      <w:tblGrid>
        <w:gridCol w:w="3120"/>
        <w:gridCol w:w="3120"/>
        <w:gridCol w:w="3120"/>
      </w:tblGrid>
      <w:tr>
        <w:trPr>
          <w:tblHeader w:val="true"/>
        </w:trPr>
        <w:tc>
          <w:tcPr>
            <w:tcW w:w="3120" w:type="dxa"/>
            <w:tcBorders>
              <w:top w:val="single" w:sz="2" w:space="0" w:color="CCCCCC"/>
              <w:left w:val="single" w:sz="2" w:space="0" w:color="CCCCCC"/>
              <w:bottom w:val="single" w:sz="2" w:space="0" w:color="CCCCCC"/>
              <w:right w:val="single" w:sz="2" w:space="0" w:color="CCCCCC"/>
            </w:tcBorders>
            <w:shd w:fill="3498DB" w:val="clear"/>
          </w:tcPr>
          <w:p>
            <w:pPr>
              <w:pStyle w:val="Normal"/>
              <w:widowControl w:val="false"/>
              <w:jc w:val="center"/>
              <w:rPr/>
            </w:pPr>
            <w:r>
              <w:rPr>
                <w:b/>
                <w:bCs/>
                <w:color w:val="FFFFFF"/>
              </w:rPr>
              <w:t>Category</w:t>
            </w:r>
          </w:p>
        </w:tc>
        <w:tc>
          <w:tcPr>
            <w:tcW w:w="3120" w:type="dxa"/>
            <w:tcBorders>
              <w:top w:val="single" w:sz="2" w:space="0" w:color="CCCCCC"/>
              <w:left w:val="single" w:sz="2" w:space="0" w:color="CCCCCC"/>
              <w:bottom w:val="single" w:sz="2" w:space="0" w:color="CCCCCC"/>
              <w:right w:val="single" w:sz="2" w:space="0" w:color="CCCCCC"/>
            </w:tcBorders>
            <w:shd w:fill="3498DB" w:val="clear"/>
          </w:tcPr>
          <w:p>
            <w:pPr>
              <w:pStyle w:val="Normal"/>
              <w:widowControl w:val="false"/>
              <w:jc w:val="center"/>
              <w:rPr/>
            </w:pPr>
            <w:r>
              <w:rPr>
                <w:b/>
                <w:bCs/>
                <w:color w:val="FFFFFF"/>
              </w:rPr>
              <w:t>Technology</w:t>
            </w:r>
          </w:p>
        </w:tc>
        <w:tc>
          <w:tcPr>
            <w:tcW w:w="3120" w:type="dxa"/>
            <w:tcBorders>
              <w:top w:val="single" w:sz="2" w:space="0" w:color="CCCCCC"/>
              <w:left w:val="single" w:sz="2" w:space="0" w:color="CCCCCC"/>
              <w:bottom w:val="single" w:sz="2" w:space="0" w:color="CCCCCC"/>
              <w:right w:val="single" w:sz="2" w:space="0" w:color="CCCCCC"/>
            </w:tcBorders>
            <w:shd w:fill="3498DB" w:val="clear"/>
          </w:tcPr>
          <w:p>
            <w:pPr>
              <w:pStyle w:val="Normal"/>
              <w:widowControl w:val="false"/>
              <w:jc w:val="center"/>
              <w:rPr/>
            </w:pPr>
            <w:r>
              <w:rPr>
                <w:b/>
                <w:bCs/>
                <w:color w:val="FFFFFF"/>
              </w:rPr>
              <w:t>Version/Purpose</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Language</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Python</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3.10+ (Core development)</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Deep Learning</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PyTorch</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2.0+ (Neural Network)</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Data Processing</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Pandas, NumPy</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Data manipulation</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ML Utilities</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Scikit-learn</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Metrics, preprocessing</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Visualization</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Matplotlib, Plotly</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Charts, dashboards</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Dashboard</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Streamlit</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1.28+ (Web interface)</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GPU Acceleration</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CUDA</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NVIDIA GPU training</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Version Control</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Git/GitHub</w:t>
            </w:r>
          </w:p>
        </w:tc>
        <w:tc>
          <w:tcPr>
            <w:tcW w:w="312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Code management</w:t>
            </w:r>
          </w:p>
        </w:tc>
      </w:tr>
    </w:tbl>
    <w:p>
      <w:pPr>
        <w:pStyle w:val="Heading2"/>
        <w:spacing w:before="300" w:after="0"/>
        <w:rPr/>
      </w:pPr>
      <w:r>
        <w:rPr/>
        <w:t>6.2 Model Architecture</w:t>
      </w:r>
    </w:p>
    <w:p>
      <w:pPr>
        <w:pStyle w:val="Normal"/>
        <w:spacing w:before="0" w:after="200"/>
        <w:rPr/>
      </w:pPr>
      <w:r>
        <w:rPr/>
        <w:t>The neural network follows a fully-connected design with the following specifications:</w:t>
      </w:r>
    </w:p>
    <w:p>
      <w:pPr>
        <w:pStyle w:val="ListParagraph"/>
        <w:numPr>
          <w:ilvl w:val="0"/>
          <w:numId w:val="2"/>
        </w:numPr>
        <w:spacing w:before="0" w:after="100"/>
        <w:rPr/>
      </w:pPr>
      <w:r>
        <w:rPr>
          <w:b/>
          <w:bCs/>
        </w:rPr>
        <w:t xml:space="preserve">Input Layer: </w:t>
      </w:r>
      <w:r>
        <w:rPr/>
        <w:t>22 features (preprocessed)</w:t>
      </w:r>
    </w:p>
    <w:p>
      <w:pPr>
        <w:pStyle w:val="ListParagraph"/>
        <w:numPr>
          <w:ilvl w:val="0"/>
          <w:numId w:val="2"/>
        </w:numPr>
        <w:spacing w:before="0" w:after="100"/>
        <w:rPr/>
      </w:pPr>
      <w:r>
        <w:rPr>
          <w:b/>
          <w:bCs/>
        </w:rPr>
        <w:t xml:space="preserve">Hidden Layers: </w:t>
      </w:r>
      <w:r>
        <w:rPr/>
        <w:t>256 → 128 → 64 neurons with BatchNorm + ReLU + Dropout(0.3)</w:t>
      </w:r>
    </w:p>
    <w:p>
      <w:pPr>
        <w:pStyle w:val="ListParagraph"/>
        <w:numPr>
          <w:ilvl w:val="0"/>
          <w:numId w:val="2"/>
        </w:numPr>
        <w:spacing w:before="0" w:after="100"/>
        <w:rPr/>
      </w:pPr>
      <w:r>
        <w:rPr>
          <w:b/>
          <w:bCs/>
        </w:rPr>
        <w:t xml:space="preserve">Output Layer: </w:t>
      </w:r>
      <w:r>
        <w:rPr/>
        <w:t>1 neuron with Sigmoid activation</w:t>
      </w:r>
    </w:p>
    <w:p>
      <w:pPr>
        <w:pStyle w:val="ListParagraph"/>
        <w:numPr>
          <w:ilvl w:val="0"/>
          <w:numId w:val="2"/>
        </w:numPr>
        <w:spacing w:before="0" w:after="100"/>
        <w:rPr/>
      </w:pPr>
      <w:r>
        <w:rPr>
          <w:b/>
          <w:bCs/>
        </w:rPr>
        <w:t xml:space="preserve">Loss Function: </w:t>
      </w:r>
      <w:r>
        <w:rPr/>
        <w:t>Focal Loss (α=0.75, γ=2.0)</w:t>
      </w:r>
    </w:p>
    <w:p>
      <w:pPr>
        <w:pStyle w:val="ListParagraph"/>
        <w:numPr>
          <w:ilvl w:val="0"/>
          <w:numId w:val="2"/>
        </w:numPr>
        <w:spacing w:before="0" w:after="100"/>
        <w:rPr/>
      </w:pPr>
      <w:r>
        <w:rPr>
          <w:b/>
          <w:bCs/>
        </w:rPr>
        <w:t xml:space="preserve">Optimizer: </w:t>
      </w:r>
      <w:r>
        <w:rPr/>
        <w:t>Adam (lr=0.001, weight_decay=1e-5)</w:t>
      </w:r>
    </w:p>
    <w:p>
      <w:pPr>
        <w:pStyle w:val="ListParagraph"/>
        <w:numPr>
          <w:ilvl w:val="0"/>
          <w:numId w:val="2"/>
        </w:numPr>
        <w:spacing w:before="0" w:after="200"/>
        <w:rPr/>
      </w:pPr>
      <w:r>
        <w:rPr>
          <w:b/>
          <w:bCs/>
        </w:rPr>
        <w:t xml:space="preserve">Total Parameters: </w:t>
      </w:r>
      <w:r>
        <w:rPr/>
        <w:t>48,001</w:t>
      </w:r>
    </w:p>
    <w:p>
      <w:pPr>
        <w:pStyle w:val="Heading1"/>
        <w:rPr/>
      </w:pPr>
      <w:r>
        <w:rPr/>
        <w:t>7. Key Results Summary</w:t>
      </w:r>
    </w:p>
    <w:tbl>
      <w:tblPr>
        <w:tblW w:w="9360" w:type="dxa"/>
        <w:jc w:val="left"/>
        <w:tblInd w:w="0" w:type="dxa"/>
        <w:tblLayout w:type="fixed"/>
        <w:tblCellMar>
          <w:top w:w="0" w:type="dxa"/>
          <w:left w:w="108" w:type="dxa"/>
          <w:bottom w:w="0" w:type="dxa"/>
          <w:right w:w="108"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jc w:val="center"/>
              <w:rPr/>
            </w:pPr>
            <w:r>
              <w:rPr>
                <w:b/>
                <w:bCs/>
                <w:color w:val="FFFFFF"/>
              </w:rPr>
              <w:t>Metric</w:t>
            </w:r>
          </w:p>
        </w:tc>
        <w:tc>
          <w:tcPr>
            <w:tcW w:w="4679"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jc w:val="center"/>
              <w:rPr/>
            </w:pPr>
            <w:r>
              <w:rPr>
                <w:b/>
                <w:bCs/>
                <w:color w:val="FFFFFF"/>
              </w:rPr>
              <w:t>Value</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ROC-AUC</w:t>
            </w:r>
          </w:p>
        </w:tc>
        <w:tc>
          <w:tcPr>
            <w:tcW w:w="4679"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b/>
                <w:bCs/>
                <w:color w:val="27AE60"/>
              </w:rPr>
              <w:t>0.9969</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PR-AUC</w:t>
            </w:r>
          </w:p>
        </w:tc>
        <w:tc>
          <w:tcPr>
            <w:tcW w:w="4679"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b/>
                <w:bCs/>
              </w:rPr>
              <w:t>0.8712</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Precision @ 0.90 threshold</w:t>
            </w:r>
          </w:p>
        </w:tc>
        <w:tc>
          <w:tcPr>
            <w:tcW w:w="4679"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b/>
                <w:bCs/>
              </w:rPr>
              <w:t>87.76%</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Recall @ 0.90 threshold</w:t>
            </w:r>
          </w:p>
        </w:tc>
        <w:tc>
          <w:tcPr>
            <w:tcW w:w="4679"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b/>
                <w:bCs/>
              </w:rPr>
              <w:t>76.88%</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F1 Score</w:t>
            </w:r>
          </w:p>
        </w:tc>
        <w:tc>
          <w:tcPr>
            <w:tcW w:w="4679"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b/>
                <w:bCs/>
              </w:rPr>
              <w:t>0.8196</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False Positive Rate</w:t>
            </w:r>
          </w:p>
        </w:tc>
        <w:tc>
          <w:tcPr>
            <w:tcW w:w="4679"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b/>
                <w:bCs/>
              </w:rPr>
              <w:t>0.04%</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Estimated Net Benefit</w:t>
            </w:r>
          </w:p>
        </w:tc>
        <w:tc>
          <w:tcPr>
            <w:tcW w:w="4679" w:type="dxa"/>
            <w:tcBorders>
              <w:top w:val="single" w:sz="2" w:space="0" w:color="CCCCCC"/>
              <w:left w:val="single" w:sz="2" w:space="0" w:color="CCCCCC"/>
              <w:bottom w:val="single" w:sz="2" w:space="0" w:color="CCCCCC"/>
              <w:right w:val="single" w:sz="2" w:space="0" w:color="CCCCCC"/>
            </w:tcBorders>
          </w:tcPr>
          <w:p>
            <w:pPr>
              <w:pStyle w:val="Normal"/>
              <w:widowControl w:val="false"/>
              <w:jc w:val="center"/>
              <w:rPr/>
            </w:pPr>
            <w:r>
              <w:rPr>
                <w:b/>
                <w:bCs/>
                <w:color w:val="27AE60"/>
              </w:rPr>
              <w:t>$611,462</w:t>
            </w:r>
          </w:p>
        </w:tc>
      </w:tr>
    </w:tbl>
    <w:p>
      <w:pPr>
        <w:pStyle w:val="Heading1"/>
        <w:spacing w:before="360" w:after="0"/>
        <w:rPr/>
      </w:pPr>
      <w:r>
        <w:rPr/>
        <w:t>8. Conclusion</w:t>
      </w:r>
    </w:p>
    <w:p>
      <w:pPr>
        <w:pStyle w:val="Normal"/>
        <w:spacing w:before="0" w:after="200"/>
        <w:rPr/>
      </w:pPr>
      <w:r>
        <w:rPr/>
        <w:t>The FraudShield project successfully demonstrates that interpretable transaction features can support fraud detection performance competitive with anonymized alternatives. The deep neural network architecture achieves ROC-AUC of 0.9969 and F1 score of 0.8196 at the optimal threshold - performance that compares favorably with the strongest results reported in the literature.</w:t>
      </w:r>
    </w:p>
    <w:p>
      <w:pPr>
        <w:pStyle w:val="Normal"/>
        <w:spacing w:before="0" w:after="200"/>
        <w:rPr/>
      </w:pPr>
      <w:r>
        <w:rPr/>
        <w:t>Beyond raw metrics, the interpretable features enable genuine understanding of fraud mechanisms: fraudulent transactions average nearly eight times larger than legitimate ones, concentrate during late-night hours, and disproportionately target online shopping categories. These insights extend beyond model training to inform business rules, customer communication strategies, and regulatory compliance reporting.</w:t>
      </w:r>
    </w:p>
    <w:sectPr>
      <w:headerReference w:type="default" r:id="rId2"/>
      <w:footerReference w:type="default" r:id="rId3"/>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Page </w:t>
    </w:r>
    <w:r>
      <w:rPr/>
      <w:fldChar w:fldCharType="begin"/>
    </w:r>
    <w:r>
      <w:rPr/>
      <w:instrText xml:space="preserve"> PAGE </w:instrText>
    </w:r>
    <w:r>
      <w:rPr/>
      <w:fldChar w:fldCharType="separate"/>
    </w:r>
    <w:r>
      <w:rPr/>
      <w:t>5</w:t>
    </w:r>
    <w:r>
      <w:rPr/>
      <w:fldChar w:fldCharType="end"/>
    </w:r>
    <w:r>
      <w:rPr>
        <w:sz w:val="20"/>
        <w:szCs w:val="20"/>
      </w:rPr>
      <w:t xml:space="preserve"> of </w:t>
    </w:r>
    <w:r>
      <w:rPr/>
      <w:fldChar w:fldCharType="begin"/>
    </w:r>
    <w:r>
      <w:rPr/>
      <w:instrText xml:space="preserve"> NUMPAGES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20"/>
        <w:szCs w:val="20"/>
      </w:rPr>
      <w:t>Credit Card Fraud Detection Using Deep Learning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E3A5F"/>
      <w:sz w:val="32"/>
      <w:szCs w:val="32"/>
    </w:rPr>
  </w:style>
  <w:style w:type="paragraph" w:styleId="Heading2">
    <w:name w:val="Heading 2"/>
    <w:basedOn w:val="Heading"/>
    <w:qFormat/>
    <w:pPr>
      <w:spacing w:before="240" w:after="120"/>
      <w:outlineLvl w:val="1"/>
    </w:pPr>
    <w:rPr>
      <w:rFonts w:ascii="Arial" w:hAnsi="Arial" w:eastAsia="Arial" w:cs="Arial"/>
      <w:b/>
      <w:bCs/>
      <w:color w:val="2C5282"/>
      <w:sz w:val="26"/>
      <w:szCs w:val="26"/>
    </w:rPr>
  </w:style>
  <w:style w:type="paragraph" w:styleId="Heading3">
    <w:name w:val="Heading 3"/>
    <w:basedOn w:val="Heading"/>
    <w:qFormat/>
    <w:pPr>
      <w:spacing w:before="200" w:after="100"/>
      <w:outlineLvl w:val="2"/>
    </w:pPr>
    <w:rPr>
      <w:rFonts w:ascii="Arial" w:hAnsi="Arial" w:eastAsia="Arial" w:cs="Arial"/>
      <w:b/>
      <w:bCs/>
      <w:color w:val="3182CE"/>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spacing w:before="240" w:after="120"/>
      <w:jc w:val="center"/>
    </w:pPr>
    <w:rPr>
      <w:rFonts w:ascii="Arial" w:hAnsi="Arial" w:eastAsia="Arial" w:cs="Arial"/>
      <w:b/>
      <w:bCs/>
      <w:color w:val="1E3A5F"/>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5</Pages>
  <Words>881</Words>
  <Characters>5954</Characters>
  <CharactersWithSpaces>6672</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2026-01-11T07:49:02Z</dcterms:created>
  <dc:creator>Un-named</dc:creator>
  <dc:description/>
  <dc:language>en-US</dc:language>
  <cp:lastModifiedBy/>
  <dcterms:modified xsi:type="dcterms:W3CDTF">2026-01-11T16:51:29Z</dcterms:modified>
  <cp:revision>5</cp:revision>
  <dc:subject/>
  <dc:title/>
</cp:coreProperties>
</file>