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F233A"/>
          <w:sz w:val="52"/>
        </w:rPr>
        <w:t>Détection de la Fièvre Catarrhale Ovine (FCO)</w:t>
      </w:r>
    </w:p>
    <w:p>
      <w:pPr>
        <w:jc w:val="center"/>
      </w:pPr>
      <w:r>
        <w:rPr>
          <w:i/>
          <w:color w:val="555555"/>
          <w:sz w:val="28"/>
        </w:rPr>
        <w:t>Approche hybride : données de laboratoire (Random Forest) et vision par ordinateur (EfficientNet)</w:t>
      </w:r>
    </w:p>
    <w:p/>
    <w:p>
      <w:pPr>
        <w:jc w:val="center"/>
      </w:pPr>
      <w:r>
        <w:rPr>
          <w:sz w:val="26"/>
        </w:rPr>
        <w:t>Dossier technique de préparation — Soutenance de Master 2 Data Science</w:t>
      </w:r>
    </w:p>
    <w:p/>
    <w:p/>
    <w:p/>
    <w:p/>
    <w:p/>
    <w:p/>
    <w:p>
      <w:pPr>
        <w:jc w:val="center"/>
      </w:pPr>
      <w:r>
        <w:rPr>
          <w:sz w:val="24"/>
        </w:rPr>
        <w:t>Auteur : [Votre nom]</w:t>
        <w:br/>
        <w:t>Année universitaire 2025–2026</w:t>
      </w:r>
    </w:p>
    <w:p/>
    <w:p>
      <w:pPr>
        <w:jc w:val="center"/>
      </w:pPr>
      <w:r>
        <w:rPr>
          <w:i/>
        </w:rPr>
        <w:t>Document de synthèse technique — chaque choix méthodologique est justifié et ses limites assumées.</w:t>
      </w:r>
    </w:p>
    <w:p>
      <w:r>
        <w:br w:type="page"/>
      </w:r>
    </w:p>
    <w:p>
      <w:pPr>
        <w:pStyle w:val="Heading1"/>
      </w:pPr>
      <w:r>
        <w:t>Sommaire</w:t>
      </w:r>
    </w:p>
    <w:p>
      <w:r>
        <w:fldChar w:fldCharType="begin"/>
        <w:instrText xml:space="preserve">TOC \o "1-3" \h \z \u</w:instrText>
        <w:fldChar w:fldCharType="separate"/>
        <w:t>[ Clic droit ici puis « Mettre à jour les champs » pour générer le sommaire ]</w:t>
        <w:fldChar w:fldCharType="end"/>
      </w:r>
    </w:p>
    <w:p>
      <w:r>
        <w:br w:type="page"/>
      </w:r>
    </w:p>
    <w:p>
      <w:pPr>
        <w:pStyle w:val="Heading1"/>
      </w:pPr>
      <w:r>
        <w:t>1. Présentation générale du projet</w:t>
      </w:r>
    </w:p>
    <w:p>
      <w:pPr>
        <w:pStyle w:val="Heading2"/>
      </w:pPr>
      <w:r>
        <w:t>1.1 Contexte : la FCO</w:t>
      </w:r>
    </w:p>
    <w:p>
      <w:r>
        <w:rPr>
          <w:b w:val="0"/>
          <w:i w:val="0"/>
        </w:rPr>
        <w:t>La Fièvre Catarrhale Ovine (FCO, ou « bluetongue ») est une maladie virale animale non contagieuse, due à un orbivirus (Bluetongue Virus, BTV) et transmise par des moucherons piqueurs du genre Culicoides. Elle touche les ruminants (ovins, bovins) et constitue une maladie réglementée à déclaration obligatoire. Plusieurs sérotypes circulent, notamment BTV-3 et BTV-8.</w:t>
      </w:r>
    </w:p>
    <w:p>
      <w:pPr>
        <w:pStyle w:val="Heading2"/>
      </w:pPr>
      <w:r>
        <w:t>1.2 Objectif et approche hybride</w:t>
      </w:r>
    </w:p>
    <w:p>
      <w:r>
        <w:rPr>
          <w:b w:val="0"/>
          <w:i w:val="0"/>
        </w:rPr>
        <w:t>Le projet propose un outil d'aide à la décision combinant deux sources d'information complémentaires de la chaîne de surveillance :</w:t>
      </w:r>
    </w:p>
    <w:p>
      <w:pPr>
        <w:pStyle w:val="ListBullet"/>
      </w:pPr>
      <w:r>
        <w:t>Volet Laboratoire — à partir de la charge virale mesurée (nombre de copies du génome viral), estimer si un échantillon est infecté. Modèle : Random Forest.</w:t>
      </w:r>
    </w:p>
    <w:p>
      <w:pPr>
        <w:pStyle w:val="ListBullet"/>
      </w:pPr>
      <w:r>
        <w:t>Volet Éleveur — à partir d'une photographie de l'animal, estimer s'il présente des signes cliniques évocateurs de FCO. Modèle : réseau de neurones convolutif EfficientNet (transfer learning).</w:t>
      </w:r>
    </w:p>
    <w:p>
      <w:pPr>
        <w:pStyle w:val="ListBullet"/>
      </w:pPr>
      <w:r>
        <w:t>Application — une interface Streamlit unifiée qui charge les deux modèles et restitue les résultats.</w:t>
      </w:r>
    </w:p>
    <w:p>
      <w:r>
        <w:rPr>
          <w:b w:val="0"/>
          <w:i w:val="0"/>
        </w:rPr>
        <w:t>Le mot « hybride » se justifie comme la combinaison de deux outils intervenant à des moments différents : l'éleveur en amont (alerte visuelle), le laboratoire en confirmation (charge virale). Ce ne sont PAS deux modèles fusionnés, mais deux briques indépendantes.</w:t>
      </w:r>
    </w:p>
    <w:p>
      <w:pPr>
        <w:pStyle w:val="Heading2"/>
      </w:pPr>
      <w:r>
        <w:t>1.3 Pile technique (stack)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D9488"/>
          </w:tcPr>
          <w:p>
            <w:r/>
            <w:r>
              <w:rPr>
                <w:b/>
                <w:color w:val="FFFFFF"/>
              </w:rPr>
              <w:t>Composant</w:t>
            </w:r>
          </w:p>
        </w:tc>
        <w:tc>
          <w:tcPr>
            <w:tcW w:type="dxa" w:w="4320"/>
            <w:shd w:val="clear" w:fill="0D9488"/>
          </w:tcPr>
          <w:p>
            <w:r/>
            <w:r>
              <w:rPr>
                <w:b/>
                <w:color w:val="FFFFFF"/>
              </w:rPr>
              <w:t>Technologies</w:t>
            </w:r>
          </w:p>
        </w:tc>
      </w:tr>
      <w:tr>
        <w:tc>
          <w:tcPr>
            <w:tcW w:type="dxa" w:w="4320"/>
          </w:tcPr>
          <w:p>
            <w:r/>
            <w:r>
              <w:t>Langage</w:t>
            </w:r>
          </w:p>
        </w:tc>
        <w:tc>
          <w:tcPr>
            <w:tcW w:type="dxa" w:w="4320"/>
          </w:tcPr>
          <w:p>
            <w:r/>
            <w:r>
              <w:t>Python 3.11</w:t>
            </w:r>
          </w:p>
        </w:tc>
      </w:tr>
      <w:tr>
        <w:tc>
          <w:tcPr>
            <w:tcW w:type="dxa" w:w="4320"/>
          </w:tcPr>
          <w:p>
            <w:r/>
            <w:r>
              <w:t>Volet labo</w:t>
            </w:r>
          </w:p>
        </w:tc>
        <w:tc>
          <w:tcPr>
            <w:tcW w:type="dxa" w:w="4320"/>
          </w:tcPr>
          <w:p>
            <w:r/>
            <w:r>
              <w:t>scikit-learn (RandomForest), pandas, NumPy, SciPy</w:t>
            </w:r>
          </w:p>
        </w:tc>
      </w:tr>
      <w:tr>
        <w:tc>
          <w:tcPr>
            <w:tcW w:type="dxa" w:w="4320"/>
          </w:tcPr>
          <w:p>
            <w:r/>
            <w:r>
              <w:t>Volet image</w:t>
            </w:r>
          </w:p>
        </w:tc>
        <w:tc>
          <w:tcPr>
            <w:tcW w:type="dxa" w:w="4320"/>
          </w:tcPr>
          <w:p>
            <w:r/>
            <w:r>
              <w:t>PyTorch, torchvision, timm (EfficientNet-B0)</w:t>
            </w:r>
          </w:p>
        </w:tc>
      </w:tr>
      <w:tr>
        <w:tc>
          <w:tcPr>
            <w:tcW w:type="dxa" w:w="4320"/>
          </w:tcPr>
          <w:p>
            <w:r/>
            <w:r>
              <w:t>Analyse / figures</w:t>
            </w:r>
          </w:p>
        </w:tc>
        <w:tc>
          <w:tcPr>
            <w:tcW w:type="dxa" w:w="4320"/>
          </w:tcPr>
          <w:p>
            <w:r/>
            <w:r>
              <w:t>Matplotlib, Plotly, SciPy (tests statistiques)</w:t>
            </w:r>
          </w:p>
        </w:tc>
      </w:tr>
      <w:tr>
        <w:tc>
          <w:tcPr>
            <w:tcW w:type="dxa" w:w="4320"/>
          </w:tcPr>
          <w:p>
            <w:r/>
            <w:r>
              <w:t>Application</w:t>
            </w:r>
          </w:p>
        </w:tc>
        <w:tc>
          <w:tcPr>
            <w:tcW w:type="dxa" w:w="4320"/>
          </w:tcPr>
          <w:p>
            <w:r/>
            <w:r>
              <w:t>Streamlit, Plotly</w:t>
            </w:r>
          </w:p>
        </w:tc>
      </w:tr>
      <w:tr>
        <w:tc>
          <w:tcPr>
            <w:tcW w:type="dxa" w:w="4320"/>
          </w:tcPr>
          <w:p>
            <w:r/>
            <w:r>
              <w:t>Explicabilité</w:t>
            </w:r>
          </w:p>
        </w:tc>
        <w:tc>
          <w:tcPr>
            <w:tcW w:type="dxa" w:w="4320"/>
          </w:tcPr>
          <w:p>
            <w:r/>
            <w:r>
              <w:t>Grad-CAM (image), importance par permutation (labo)</w:t>
            </w:r>
          </w:p>
        </w:tc>
      </w:tr>
    </w:tbl>
    <w:p>
      <w:r>
        <w:br w:type="page"/>
      </w:r>
    </w:p>
    <w:p>
      <w:pPr>
        <w:pStyle w:val="Heading1"/>
      </w:pPr>
      <w:r>
        <w:t>2. Volet Laboratoire — Random Forest</w:t>
      </w:r>
    </w:p>
    <w:p>
      <w:pPr>
        <w:pStyle w:val="Heading2"/>
      </w:pPr>
      <w:r>
        <w:t>2.1 Les données</w:t>
      </w:r>
    </w:p>
    <w:p>
      <w:r>
        <w:rPr>
          <w:b w:val="0"/>
          <w:i w:val="0"/>
        </w:rPr>
        <w:t>Fichier source : « 01_BTV copy numbers midge.csv », 1 249 individus (moucherons Culicoides). Le sérotype, le numéro d'essai et le jour post-infection sont encodés dans l'identifiant, pas dans des colonnes séparées. Exemple : « 1-BTV3 6dpi 100 » = essai 1, sérotype BTV3, 6 jours post-infection (DPI), individu n°100.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Valeurs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Détail</w:t>
            </w:r>
          </w:p>
        </w:tc>
      </w:tr>
      <w:tr>
        <w:tc>
          <w:tcPr>
            <w:tcW w:type="dxa" w:w="2880"/>
          </w:tcPr>
          <w:p>
            <w:r/>
            <w:r>
              <w:t>Sérotype</w:t>
            </w:r>
          </w:p>
        </w:tc>
        <w:tc>
          <w:tcPr>
            <w:tcW w:type="dxa" w:w="2880"/>
          </w:tcPr>
          <w:p>
            <w:r/>
            <w:r>
              <w:t>BTV3 (601), BTV8 (584), NC (64)</w:t>
            </w:r>
          </w:p>
        </w:tc>
        <w:tc>
          <w:tcPr>
            <w:tcW w:type="dxa" w:w="2880"/>
          </w:tcPr>
          <w:p>
            <w:r/>
            <w:r>
              <w:t>NC = contrôle négatif</w:t>
            </w:r>
          </w:p>
        </w:tc>
      </w:tr>
      <w:tr>
        <w:tc>
          <w:tcPr>
            <w:tcW w:type="dxa" w:w="2880"/>
          </w:tcPr>
          <w:p>
            <w:r/>
            <w:r>
              <w:t>DPI</w:t>
            </w:r>
          </w:p>
        </w:tc>
        <w:tc>
          <w:tcPr>
            <w:tcW w:type="dxa" w:w="2880"/>
          </w:tcPr>
          <w:p>
            <w:r/>
            <w:r>
              <w:t>0 ou 6</w:t>
            </w:r>
          </w:p>
        </w:tc>
        <w:tc>
          <w:tcPr>
            <w:tcW w:type="dxa" w:w="2880"/>
          </w:tcPr>
          <w:p>
            <w:r/>
            <w:r>
              <w:t>jour post-infection</w:t>
            </w:r>
          </w:p>
        </w:tc>
      </w:tr>
      <w:tr>
        <w:tc>
          <w:tcPr>
            <w:tcW w:type="dxa" w:w="2880"/>
          </w:tcPr>
          <w:p>
            <w:r/>
            <w:r>
              <w:t>Essai</w:t>
            </w:r>
          </w:p>
        </w:tc>
        <w:tc>
          <w:tcPr>
            <w:tcW w:type="dxa" w:w="2880"/>
          </w:tcPr>
          <w:p>
            <w:r/>
            <w:r>
              <w:t>1 ou 2</w:t>
            </w:r>
          </w:p>
        </w:tc>
        <w:tc>
          <w:tcPr>
            <w:tcW w:type="dxa" w:w="2880"/>
          </w:tcPr>
          <w:p>
            <w:r/>
            <w:r>
              <w:t>réplicat expérimental</w:t>
            </w:r>
          </w:p>
        </w:tc>
      </w:tr>
      <w:tr>
        <w:tc>
          <w:tcPr>
            <w:tcW w:type="dxa" w:w="2880"/>
          </w:tcPr>
          <w:p>
            <w:r/>
            <w:r>
              <w:t>Charge virale</w:t>
            </w:r>
          </w:p>
        </w:tc>
        <w:tc>
          <w:tcPr>
            <w:tcW w:type="dxa" w:w="2880"/>
          </w:tcPr>
          <w:p>
            <w:r/>
            <w:r>
              <w:t>0 à ~4,3×10⁸ copies</w:t>
            </w:r>
          </w:p>
        </w:tc>
        <w:tc>
          <w:tcPr>
            <w:tcW w:type="dxa" w:w="2880"/>
          </w:tcPr>
          <w:p>
            <w:r/>
            <w:r>
              <w:t>distribution très asymétrique</w:t>
            </w:r>
          </w:p>
        </w:tc>
      </w:tr>
    </w:tbl>
    <w:p>
      <w:pPr>
        <w:pStyle w:val="Heading2"/>
      </w:pPr>
      <w:r>
        <w:t>2.2 Prétraitement (preprocessing)</w:t>
      </w:r>
    </w:p>
    <w:p>
      <w:pPr>
        <w:pStyle w:val="ListBullet"/>
      </w:pPr>
      <w:r>
        <w:t>Extraction par expression régulière du sérotype, du DPI et de l'essai depuis l'identifiant.</w:t>
      </w:r>
    </w:p>
    <w:p>
      <w:pPr>
        <w:pStyle w:val="ListBullet"/>
      </w:pPr>
      <w:r>
        <w:t>Conversion numérique robuste de la charge virale (valeurs manquantes → 0).</w:t>
      </w:r>
    </w:p>
    <w:p>
      <w:pPr>
        <w:pStyle w:val="ListBullet"/>
      </w:pPr>
      <w:r>
        <w:t>Variables (features) du modèle : log1p(copies), DPI, et un indicateur « détectable » (copies &gt; 0). La transformation logarithmique est indispensable car la charge s'étale sur ~8 ordres de grandeur.</w:t>
      </w:r>
    </w:p>
    <w:p>
      <w:r>
        <w:rPr>
          <w:b w:val="0"/>
          <w:i w:val="0"/>
        </w:rPr>
        <w:t>Point de rigueur essentiel : le label (NC vs infecté) est dérivé du sérotype lu dans l'identifiant, JAMAIS d'une feature. Le projet initial dérivait l'étiquette par un seuil sur les copies : c'est une fuite de données (data leakage) qui rend l'évaluation fausse. Cela a été corrigé.</w:t>
      </w:r>
    </w:p>
    <w:p>
      <w:pPr>
        <w:pStyle w:val="Heading2"/>
      </w:pPr>
      <w:r>
        <w:t>2.3 Choix de la tâche : binaire et non 3 classes</w:t>
      </w:r>
    </w:p>
    <w:p>
      <w:r>
        <w:rPr>
          <w:b w:val="0"/>
          <w:i w:val="0"/>
        </w:rPr>
        <w:t>La tâche d'origine (classer NC / BTV3 / BTV8) n'est pas réalisable : la charge virale ne distingue PAS les sérotypes. À l'échelle individuelle, BTV3 et BTV8 se recouvrent totalement (médianes quasi identiques, ~50 % de zéros dans chaque groupe). La tâche a donc été ramenée à la détection NC vs infecté.</w:t>
      </w:r>
    </w:p>
    <w:p>
      <w:pPr>
        <w:pStyle w:val="Heading2"/>
      </w:pPr>
      <w:r>
        <w:t>2.4 Le modèle et son évaluation honnête</w:t>
      </w:r>
    </w:p>
    <w:p>
      <w:r>
        <w:rPr>
          <w:b w:val="0"/>
          <w:i w:val="0"/>
        </w:rPr>
        <w:t>Modèle : RandomForestClassifier (scikit-learn), split train/test stratifié, validation croisée, class_weight équilibré. Mais le résultat doit être lu avec esprit critique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Approche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Accuracy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Lecture</w:t>
            </w:r>
          </w:p>
        </w:tc>
      </w:tr>
      <w:tr>
        <w:tc>
          <w:tcPr>
            <w:tcW w:type="dxa" w:w="2880"/>
          </w:tcPr>
          <w:p>
            <w:r/>
            <w:r>
              <w:t>Règle « copies &gt; 0 »</w:t>
            </w:r>
          </w:p>
        </w:tc>
        <w:tc>
          <w:tcPr>
            <w:tcW w:type="dxa" w:w="2880"/>
          </w:tcPr>
          <w:p>
            <w:r/>
            <w:r>
              <w:t>52,6 %</w:t>
            </w:r>
          </w:p>
        </w:tc>
        <w:tc>
          <w:tcPr>
            <w:tcW w:type="dxa" w:w="2880"/>
          </w:tcPr>
          <w:p>
            <w:r/>
            <w:r>
              <w:t>faible : la majorité des infectés ont éliminé le virus à 6 DPI</w:t>
            </w:r>
          </w:p>
        </w:tc>
      </w:tr>
      <w:tr>
        <w:tc>
          <w:tcPr>
            <w:tcW w:type="dxa" w:w="2880"/>
          </w:tcPr>
          <w:p>
            <w:r/>
            <w:r>
              <w:t>Baseline « toujours infecté »</w:t>
            </w:r>
          </w:p>
        </w:tc>
        <w:tc>
          <w:tcPr>
            <w:tcW w:type="dxa" w:w="2880"/>
          </w:tcPr>
          <w:p>
            <w:r/>
            <w:r>
              <w:t>94,9 %</w:t>
            </w:r>
          </w:p>
        </w:tc>
        <w:tc>
          <w:tcPr>
            <w:tcW w:type="dxa" w:w="2880"/>
          </w:tcPr>
          <w:p>
            <w:r/>
            <w:r>
              <w:t>le jeu est composé à 95 % d'infectés</w:t>
            </w:r>
          </w:p>
        </w:tc>
      </w:tr>
      <w:tr>
        <w:tc>
          <w:tcPr>
            <w:tcW w:type="dxa" w:w="2880"/>
          </w:tcPr>
          <w:p>
            <w:r/>
            <w:r>
              <w:t>Random Forest</w:t>
            </w:r>
          </w:p>
        </w:tc>
        <w:tc>
          <w:tcPr>
            <w:tcW w:type="dxa" w:w="2880"/>
          </w:tcPr>
          <w:p>
            <w:r/>
            <w:r>
              <w:t>97,4 %</w:t>
            </w:r>
          </w:p>
        </w:tc>
        <w:tc>
          <w:tcPr>
            <w:tcW w:type="dxa" w:w="2880"/>
          </w:tcPr>
          <w:p>
            <w:r/>
            <w:r>
              <w:t>n'ajoute que +2,5 points sur la baseline</w:t>
            </w:r>
          </w:p>
        </w:tc>
      </w:tr>
    </w:tbl>
    <w:p>
      <w:r>
        <w:rPr>
          <w:b w:val="0"/>
          <w:i w:val="0"/>
        </w:rPr>
        <w:t>Conclusion critique : l'apport du Random Forest en classification est marginal. La tâche est triviale et faussée par le déséquilibre. De plus, il existe une collision de variables : un NC à 6 DPI et un infecté ayant éliminé le virus à 6 DPI ont des features identiques [0, 6, 0] mais des labels opposés — le modèle ne peut pas les séparer. La variable la plus importante est le DPI, pas la charge. Ayant appris le taux de base de ce jeu, le modèle sur-prédirait « infecté » sur une population de terrain réaliste.</w:t>
      </w:r>
    </w:p>
    <w:p>
      <w:pPr>
        <w:pStyle w:val="Heading2"/>
      </w:pPr>
      <w:r>
        <w:t>2.5 La vraie valeur du volet labo : l'analyse de cinétique virale</w:t>
      </w:r>
    </w:p>
    <w:p>
      <w:r>
        <w:rPr>
          <w:b w:val="0"/>
          <w:i w:val="0"/>
        </w:rPr>
        <w:t>Plutôt qu'un classifieur faible, la donnée se prête à une étude statistique de la dynamique de réplication virale (script 04) :</w:t>
      </w:r>
    </w:p>
    <w:p>
      <w:pPr>
        <w:pStyle w:val="ListBullet"/>
      </w:pPr>
      <w:r>
        <w:t>À 0 DPI, le virus inoculé est détecté chez tous les individus (dose de départ).</w:t>
      </w:r>
    </w:p>
    <w:p>
      <w:pPr>
        <w:pStyle w:val="ListBullet"/>
      </w:pPr>
      <w:r>
        <w:t>À 6 DPI, le virus est éliminé chez la majorité (médiane = 0), mais explose chez une minorité « compétente » (moyenne en millions, pics à plusieurs centaines de millions de copies) : c'est le phénomène de compétence vectorielle / barrière de dissémination.</w:t>
      </w:r>
    </w:p>
    <w:p>
      <w:pPr>
        <w:pStyle w:val="ListBullet"/>
      </w:pPr>
      <w:r>
        <w:t>Tests non paramétriques (Mann-Whitney, Kruskal-Wallis, Fisher) car les données sont très asymétriques avec beaucoup de zéros.</w:t>
      </w:r>
    </w:p>
    <w:p>
      <w:pPr>
        <w:pStyle w:val="Heading2"/>
      </w:pPr>
      <w:r>
        <w:t>2.6 La variable « essai » : interaction et reproductibilité (script 07)</w:t>
      </w:r>
    </w:p>
    <w:p>
      <w:r>
        <w:rPr>
          <w:b w:val="0"/>
          <w:i w:val="0"/>
        </w:rPr>
        <w:t>L'identifiant contient un numéro d'essai expérimental (1 ou 2), ignoré au départ. Son intégration révèle un résultat majeur :</w:t>
      </w:r>
    </w:p>
    <w:p>
      <w:pPr>
        <w:pStyle w:val="ListBullet"/>
      </w:pPr>
      <w:r>
        <w:t>L'essai n'est pas confondu avec le sérotype (les deux essais contiennent BTV3, BTV8 et NC).</w:t>
      </w:r>
    </w:p>
    <w:p>
      <w:pPr>
        <w:pStyle w:val="ListBullet"/>
      </w:pPr>
      <w:r>
        <w:t>MAIS il existe une forte interaction essai × sérotype : le sérotype qui réplique le plus s'INVERSE entre les essais (essai 1 : BTV8 &gt; BTV3 ; essai 2 : BTV3 &gt; BTV8).</w:t>
      </w:r>
    </w:p>
    <w:p>
      <w:pPr>
        <w:pStyle w:val="ListBullet"/>
      </w:pPr>
      <w:r>
        <w:t>Conséquence : comparer BTV3 et BTV8 en regroupant les essais est confondu — c'est un paradoxe de Simpson. L'analyse doit être stratifiée par essai.</w:t>
      </w:r>
    </w:p>
    <w:p>
      <w:r>
        <w:rPr>
          <w:b w:val="0"/>
          <w:i w:val="0"/>
        </w:rPr>
        <w:t>Exploitation du Random Forest comme outil d'analyse (et non de classification)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Analyse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Résultat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Interprétation</w:t>
            </w:r>
          </w:p>
        </w:tc>
      </w:tr>
      <w:tr>
        <w:tc>
          <w:tcPr>
            <w:tcW w:type="dxa" w:w="2880"/>
          </w:tcPr>
          <w:p>
            <w:r/>
            <w:r>
              <w:t>RF régression (log_copies ~ sérotype+DPI+essai)</w:t>
            </w:r>
          </w:p>
        </w:tc>
        <w:tc>
          <w:tcPr>
            <w:tcW w:type="dxa" w:w="2880"/>
          </w:tcPr>
          <w:p>
            <w:r/>
            <w:r>
              <w:t>R² = 0,15</w:t>
            </w:r>
          </w:p>
        </w:tc>
        <w:tc>
          <w:tcPr>
            <w:tcW w:type="dxa" w:w="2880"/>
          </w:tcPr>
          <w:p>
            <w:r/>
            <w:r>
              <w:t>charge mal prédite : variation individuelle dominante</w:t>
            </w:r>
          </w:p>
        </w:tc>
      </w:tr>
      <w:tr>
        <w:tc>
          <w:tcPr>
            <w:tcW w:type="dxa" w:w="2880"/>
          </w:tcPr>
          <w:p>
            <w:r/>
            <w:r>
              <w:t>Importance par permutation</w:t>
            </w:r>
          </w:p>
        </w:tc>
        <w:tc>
          <w:tcPr>
            <w:tcW w:type="dxa" w:w="2880"/>
          </w:tcPr>
          <w:p>
            <w:r/>
            <w:r>
              <w:t>DPI 0,25 ≫ sérotype 0,03</w:t>
            </w:r>
          </w:p>
        </w:tc>
        <w:tc>
          <w:tcPr>
            <w:tcW w:type="dxa" w:w="2880"/>
          </w:tcPr>
          <w:p>
            <w:r/>
            <w:r>
              <w:t>le sérotype n'explique quasiment pas la charge</w:t>
            </w:r>
          </w:p>
        </w:tc>
      </w:tr>
      <w:tr>
        <w:tc>
          <w:tcPr>
            <w:tcW w:type="dxa" w:w="2880"/>
          </w:tcPr>
          <w:p>
            <w:r/>
            <w:r>
              <w:t>Validation inter-essais (train essai 2 → test essai 1)</w:t>
            </w:r>
          </w:p>
        </w:tc>
        <w:tc>
          <w:tcPr>
            <w:tcW w:type="dxa" w:w="2880"/>
          </w:tcPr>
          <w:p>
            <w:r/>
            <w:r>
              <w:t>0,42 (&lt; hasard)</w:t>
            </w:r>
          </w:p>
        </w:tc>
        <w:tc>
          <w:tcPr>
            <w:tcW w:type="dxa" w:w="2880"/>
          </w:tcPr>
          <w:p>
            <w:r/>
            <w:r>
              <w:t>relation charge↔sérotype NON reproductible</w:t>
            </w:r>
          </w:p>
        </w:tc>
      </w:tr>
    </w:tbl>
    <w:p>
      <w:r>
        <w:rPr>
          <w:b w:val="0"/>
          <w:i w:val="0"/>
        </w:rPr>
        <w:t>Message clé pour le jury : le Random Forest devient utile non pas comme classifieur, mais comme outil pour démontrer la non-séparabilité des sérotypes et la non-reproductibilité de la relation.</w:t>
      </w:r>
    </w:p>
    <w:p>
      <w:r>
        <w:br w:type="page"/>
      </w:r>
    </w:p>
    <w:p>
      <w:pPr>
        <w:pStyle w:val="Heading1"/>
      </w:pPr>
      <w:r>
        <w:t>3. Volet Éleveur — EfficientNet (vision)</w:t>
      </w:r>
    </w:p>
    <w:p>
      <w:pPr>
        <w:pStyle w:val="Heading2"/>
      </w:pPr>
      <w:r>
        <w:t>3.1 Les données et leur biais</w:t>
      </w:r>
    </w:p>
    <w:p>
      <w:r>
        <w:rPr>
          <w:b w:val="0"/>
          <w:i w:val="0"/>
        </w:rPr>
        <w:t>Les images « malade » proviennent d'un document clinique PDF (figures de présentation), tandis que les images « sain » sont des photographies de stock (animaux en extérieur). Le dataset est minuscule (~100 images d'entraînement). Ce déséquilibre de SOURCE est le problème central du volet.</w:t>
      </w:r>
    </w:p>
    <w:p>
      <w:pPr>
        <w:pStyle w:val="Heading2"/>
      </w:pPr>
      <w:r>
        <w:t>3.2 Architecture et entraînement</w:t>
      </w:r>
    </w:p>
    <w:p>
      <w:pPr>
        <w:pStyle w:val="ListBullet"/>
      </w:pPr>
      <w:r>
        <w:t>Modèle : EfficientNet-B0 pré-entraîné sur ImageNet (transfer learning).</w:t>
      </w:r>
    </w:p>
    <w:p>
      <w:pPr>
        <w:pStyle w:val="ListBullet"/>
      </w:pPr>
      <w:r>
        <w:t>Entraînement en deux phases : (1) entraînement de la tête de classification seule, backbone gelé ; (2) fine-tuning complet à faible taux d'apprentissage (cosine annealing, early stopping, class weights).</w:t>
      </w:r>
    </w:p>
    <w:p>
      <w:pPr>
        <w:pStyle w:val="ListBullet"/>
      </w:pPr>
      <w:r>
        <w:t>Augmentation de données modérée (redimensionnement, recadrage aléatoire, symétrie horizontale, rotation ±15°, variation de couleur) — volontairement modérée vu la petite taille du jeu.</w:t>
      </w:r>
    </w:p>
    <w:p>
      <w:pPr>
        <w:pStyle w:val="Heading2"/>
      </w:pPr>
      <w:r>
        <w:t>3.3 Pourquoi une tâche binaire (sain / malade) et non la sévérité</w:t>
      </w:r>
    </w:p>
    <w:p>
      <w:r>
        <w:rPr>
          <w:b w:val="0"/>
          <w:i w:val="0"/>
        </w:rPr>
        <w:t>Le découpage de sévérité (mild / moderate / severe) n'a pas été retenu : la classe « moderate » ne compte que 4 images d'entraînement et 0 en validation — un modèle à 4 classes serait non apprenable et non évaluable. La tâche a été ramenée à la question cliniquement pertinente : sain vs signes suspects de FCO.</w:t>
      </w:r>
    </w:p>
    <w:p>
      <w:pPr>
        <w:pStyle w:val="Heading2"/>
      </w:pPr>
      <w:r>
        <w:t>3.4 Diagnostic du biais : audit + Grad-CAM</w:t>
      </w:r>
    </w:p>
    <w:p>
      <w:r>
        <w:rPr>
          <w:b w:val="0"/>
          <w:i w:val="0"/>
        </w:rPr>
        <w:t>Deux outils ont été développés pour objectiver le biais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D9488"/>
          </w:tcPr>
          <w:p>
            <w:r/>
            <w:r>
              <w:rPr>
                <w:b/>
                <w:color w:val="FFFFFF"/>
              </w:rPr>
              <w:t>Outil</w:t>
            </w:r>
          </w:p>
        </w:tc>
        <w:tc>
          <w:tcPr>
            <w:tcW w:type="dxa" w:w="4320"/>
            <w:shd w:val="clear" w:fill="0D9488"/>
          </w:tcPr>
          <w:p>
            <w:r/>
            <w:r>
              <w:rPr>
                <w:b/>
                <w:color w:val="FFFFFF"/>
              </w:rPr>
              <w:t>Constat</w:t>
            </w:r>
          </w:p>
        </w:tc>
      </w:tr>
      <w:tr>
        <w:tc>
          <w:tcPr>
            <w:tcW w:type="dxa" w:w="4320"/>
          </w:tcPr>
          <w:p>
            <w:r/>
            <w:r>
              <w:t>Audit du dataset (script 06)</w:t>
            </w:r>
          </w:p>
        </w:tc>
        <w:tc>
          <w:tcPr>
            <w:tcW w:type="dxa" w:w="4320"/>
          </w:tcPr>
          <w:p>
            <w:r/>
            <w:r>
              <w:t>48 images « malade » sur 132 (36 %) sont des diapositives / logos / pages de texte du PDF — pas des animaux. Détectées par l'uniformité du fond (une couleur couvre &gt;50 % de l'image).</w:t>
            </w:r>
          </w:p>
        </w:tc>
      </w:tr>
      <w:tr>
        <w:tc>
          <w:tcPr>
            <w:tcW w:type="dxa" w:w="4320"/>
          </w:tcPr>
          <w:p>
            <w:r/>
            <w:r>
              <w:t>Grad-CAM (script 05)</w:t>
            </w:r>
          </w:p>
        </w:tc>
        <w:tc>
          <w:tcPr>
            <w:tcW w:type="dxa" w:w="4320"/>
          </w:tcPr>
          <w:p>
            <w:r/>
            <w:r>
              <w:t>Une diapositive verte avec du texte est classée « malade » à 100 %, le modèle se concentrant sur le bandeau de texte. Preuve qu'il apprend la source, pas la maladie.</w:t>
            </w:r>
          </w:p>
        </w:tc>
      </w:tr>
    </w:tbl>
    <w:p>
      <w:pPr>
        <w:pStyle w:val="Heading2"/>
      </w:pPr>
      <w:r>
        <w:t>3.5 Correction et résultat critique</w:t>
      </w:r>
    </w:p>
    <w:p>
      <w:pPr>
        <w:pStyle w:val="ListBullet"/>
      </w:pPr>
      <w:r>
        <w:t>Les 48 images parasites ont été mises en quarantaine, puis le modèle a été ré-entraîné.</w:t>
      </w:r>
    </w:p>
    <w:p>
      <w:pPr>
        <w:pStyle w:val="ListBullet"/>
      </w:pPr>
      <w:r>
        <w:t>Résultat : 100 % en test (21 images). Mais ce score parfait est un SIGNAL D'ALARME, pas une réussite : il s'explique par un biais de contexte résiduel (sain = extérieur / prairie, malade = intérieur clinique).</w:t>
      </w:r>
    </w:p>
    <w:p>
      <w:pPr>
        <w:pStyle w:val="ListBullet"/>
      </w:pPr>
      <w:r>
        <w:t>Le Grad-CAM après nettoyage montre que le modèle regarde désormais l'animal/la scène, mais rien ne prouve qu'il cible les lésions plutôt que le contexte.</w:t>
      </w:r>
    </w:p>
    <w:p>
      <w:r>
        <w:rPr>
          <w:b w:val="0"/>
          <w:i w:val="0"/>
        </w:rPr>
        <w:t>Conclusion honnête : avec ces données, le volet image ne peut pas être scientifiquement fort. En revanche, la démarche (audit → Grad-CAM → ré-évaluation critique) constitue une véritable contribution méthodologique, bien plus valorisable qu'un « 95 % » trompeur.</w:t>
      </w:r>
    </w:p>
    <w:p>
      <w:r>
        <w:br w:type="page"/>
      </w:r>
    </w:p>
    <w:p>
      <w:pPr>
        <w:pStyle w:val="Heading1"/>
      </w:pPr>
      <w:r>
        <w:t>4. Application Streamlit</w:t>
      </w:r>
    </w:p>
    <w:p>
      <w:pPr>
        <w:pStyle w:val="ListBullet"/>
      </w:pPr>
      <w:r>
        <w:t>Navigation par état de session (session_state) : pages Accueil, Mode Laboratoire, Mode Éleveur, Contacts vétérinaires.</w:t>
      </w:r>
    </w:p>
    <w:p>
      <w:pPr>
        <w:pStyle w:val="ListBullet"/>
      </w:pPr>
      <w:r>
        <w:t>Chargement des modèles mis en cache (@st.cache_resource) ; prédiction vectorisée — corrige une lenteur/avalanche d'avertissements qui figeait l'interface.</w:t>
      </w:r>
    </w:p>
    <w:p>
      <w:pPr>
        <w:pStyle w:val="ListBullet"/>
      </w:pPr>
      <w:r>
        <w:t>Mode Laboratoire : trois sources d'entrée — lecture directe depuis la base `fco.db` (requête SQL), import CSV, ou saisie manuelle — plus une section d'analyse approfondie (cinétique, taux de détection, interaction essai × sérotype) en Plotly interactif.</w:t>
      </w:r>
    </w:p>
    <w:p>
      <w:pPr>
        <w:pStyle w:val="ListBullet"/>
      </w:pPr>
      <w:r>
        <w:t>Logique de détection (interprétation type qPCR) : virus détecté (copies &gt; 0) -&gt; INFECTE, sinon NC, avec une confiance croissant avec la magnitude de la charge. Choix assumé : le Random Forest, dont on a montré qu'il s'appuyait sur le DPI (artefact) sans dépasser la baseline, reste le modèle d'ANALYSE (scripts 01/07) ; l'outil, lui, fait une détection transparente et reproductible. Cela distingue la « détection » (présence de virus) du « statut d'infection » (un infecté ayant éliminé le virus est légitimement non détecté).</w:t>
      </w:r>
    </w:p>
    <w:p>
      <w:pPr>
        <w:pStyle w:val="ListBullet"/>
      </w:pPr>
      <w:r>
        <w:t>Mode Éleveur : analyse d'image, verdict coloré, jauge de confiance, probabilités, et bouton « Contacter un vétérinaire » en cas de signes suspects.</w:t>
      </w:r>
    </w:p>
    <w:p>
      <w:pPr>
        <w:pStyle w:val="ListBullet"/>
      </w:pPr>
      <w:r>
        <w:t>Page Contacts : protocole en cas de suspicion, canaux officiels (vétérinaire sanitaire, DD(ec)PP, GDS), liste de vétérinaires (numéros d'exemple issus des plages réservées à la fiction par l'ARCEP).</w:t>
      </w:r>
    </w:p>
    <w:p>
      <w:pPr>
        <w:pStyle w:val="ListBullet"/>
      </w:pPr>
      <w:r>
        <w:t>Design : système visuel cohérent (CSS), cartes, verdicts sémantiques (vert/ambre/rouge), animations.</w:t>
      </w:r>
    </w:p>
    <w:p>
      <w:r>
        <w:br w:type="page"/>
      </w:r>
    </w:p>
    <w:p>
      <w:pPr>
        <w:pStyle w:val="Heading1"/>
      </w:pPr>
      <w:r>
        <w:t>5. Base de données et exploitation des données</w:t>
      </w:r>
    </w:p>
    <w:p>
      <w:pPr>
        <w:pStyle w:val="Heading2"/>
      </w:pPr>
      <w:r>
        <w:t>5.1 Choix du SGBD</w:t>
      </w:r>
    </w:p>
    <w:p>
      <w:r>
        <w:rPr>
          <w:b w:val="0"/>
          <w:i w:val="0"/>
        </w:rPr>
        <w:t>Le SGBD retenu est SQLite : base embarquée, sans serveur, cohérente avec la volumétrie réelle (≈ 1 250 lignes) — critère explicitement valorisé par le référentiel. C'est une vraie base SQL (types, clés étrangères, index, dump). Une variante serveur MySQL/MariaDB avec phpMyAdmin (identifiants de connexion et back-office) est documentée pour l'option « hébergée ».</w:t>
      </w:r>
    </w:p>
    <w:p>
      <w:pPr>
        <w:pStyle w:val="Heading2"/>
      </w:pPr>
      <w:r>
        <w:t>5.2 Schéma relationnel et unification des sources</w:t>
      </w:r>
    </w:p>
    <w:p>
      <w:r>
        <w:rPr>
          <w:b w:val="0"/>
          <w:i w:val="0"/>
        </w:rPr>
        <w:t>Trois sources de formats différents sont unifiées dans la base (exigence du Bloc 1) :</w:t>
      </w:r>
    </w:p>
    <w:p>
      <w:pPr>
        <w:pStyle w:val="ListBullet"/>
      </w:pPr>
      <w:r>
        <w:t>CSV — mesures de charge virale (1 249 lignes).</w:t>
      </w:r>
    </w:p>
    <w:p>
      <w:pPr>
        <w:pStyle w:val="ListBullet"/>
      </w:pPr>
      <w:r>
        <w:t>JSON — catalogue des images (108 entrées) ; trace même le biais de source (stock vs PDF clinique).</w:t>
      </w:r>
    </w:p>
    <w:p>
      <w:pPr>
        <w:pStyle w:val="ListBullet"/>
      </w:pPr>
      <w:r>
        <w:t>XLSX — contacts vétérinaires (données personnelles, support de la démarche RGPD).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Rôle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Clés</w:t>
            </w:r>
          </w:p>
        </w:tc>
      </w:tr>
      <w:tr>
        <w:tc>
          <w:tcPr>
            <w:tcW w:type="dxa" w:w="2880"/>
          </w:tcPr>
          <w:p>
            <w:r/>
            <w:r>
              <w:t>essai</w:t>
            </w:r>
          </w:p>
        </w:tc>
        <w:tc>
          <w:tcPr>
            <w:tcW w:type="dxa" w:w="2880"/>
          </w:tcPr>
          <w:p>
            <w:r/>
            <w:r>
              <w:t>Référentiel des essais expérimentaux</w:t>
            </w:r>
          </w:p>
        </w:tc>
        <w:tc>
          <w:tcPr>
            <w:tcW w:type="dxa" w:w="2880"/>
          </w:tcPr>
          <w:p>
            <w:r/>
            <w:r>
              <w:t>PK id_essai</w:t>
            </w:r>
          </w:p>
        </w:tc>
      </w:tr>
      <w:tr>
        <w:tc>
          <w:tcPr>
            <w:tcW w:type="dxa" w:w="2880"/>
          </w:tcPr>
          <w:p>
            <w:r/>
            <w:r>
              <w:t>serotype</w:t>
            </w:r>
          </w:p>
        </w:tc>
        <w:tc>
          <w:tcPr>
            <w:tcW w:type="dxa" w:w="2880"/>
          </w:tcPr>
          <w:p>
            <w:r/>
            <w:r>
              <w:t>Référentiel NC / BTV3 / BTV8</w:t>
            </w:r>
          </w:p>
        </w:tc>
        <w:tc>
          <w:tcPr>
            <w:tcW w:type="dxa" w:w="2880"/>
          </w:tcPr>
          <w:p>
            <w:r/>
            <w:r>
              <w:t>PK id_serotype</w:t>
            </w:r>
          </w:p>
        </w:tc>
      </w:tr>
      <w:tr>
        <w:tc>
          <w:tcPr>
            <w:tcW w:type="dxa" w:w="2880"/>
          </w:tcPr>
          <w:p>
            <w:r/>
            <w:r>
              <w:t>mesure_virale</w:t>
            </w:r>
          </w:p>
        </w:tc>
        <w:tc>
          <w:tcPr>
            <w:tcW w:type="dxa" w:w="2880"/>
          </w:tcPr>
          <w:p>
            <w:r/>
            <w:r>
              <w:t>Faits : charge virale par individu</w:t>
            </w:r>
          </w:p>
        </w:tc>
        <w:tc>
          <w:tcPr>
            <w:tcW w:type="dxa" w:w="2880"/>
          </w:tcPr>
          <w:p>
            <w:r/>
            <w:r>
              <w:t>FK → essai, serotype</w:t>
            </w:r>
          </w:p>
        </w:tc>
      </w:tr>
      <w:tr>
        <w:tc>
          <w:tcPr>
            <w:tcW w:type="dxa" w:w="2880"/>
          </w:tcPr>
          <w:p>
            <w:r/>
            <w:r>
              <w:t>image</w:t>
            </w:r>
          </w:p>
        </w:tc>
        <w:tc>
          <w:tcPr>
            <w:tcW w:type="dxa" w:w="2880"/>
          </w:tcPr>
          <w:p>
            <w:r/>
            <w:r>
              <w:t>Catalogue des images</w:t>
            </w:r>
          </w:p>
        </w:tc>
        <w:tc>
          <w:tcPr>
            <w:tcW w:type="dxa" w:w="2880"/>
          </w:tcPr>
          <w:p>
            <w:r/>
            <w:r>
              <w:t>PK id_image</w:t>
            </w:r>
          </w:p>
        </w:tc>
      </w:tr>
      <w:tr>
        <w:tc>
          <w:tcPr>
            <w:tcW w:type="dxa" w:w="2880"/>
          </w:tcPr>
          <w:p>
            <w:r/>
            <w:r>
              <w:t>veterinaire</w:t>
            </w:r>
          </w:p>
        </w:tc>
        <w:tc>
          <w:tcPr>
            <w:tcW w:type="dxa" w:w="2880"/>
          </w:tcPr>
          <w:p>
            <w:r/>
            <w:r>
              <w:t>Contacts (données personnelles)</w:t>
            </w:r>
          </w:p>
        </w:tc>
        <w:tc>
          <w:tcPr>
            <w:tcW w:type="dxa" w:w="2880"/>
          </w:tcPr>
          <w:p>
            <w:r/>
            <w:r>
              <w:t>PK id_vet</w:t>
            </w:r>
          </w:p>
        </w:tc>
      </w:tr>
    </w:tbl>
    <w:p>
      <w:pPr>
        <w:pStyle w:val="Heading2"/>
      </w:pPr>
      <w:r>
        <w:t>5.3 Qualité, dictionnaire et intégrité</w:t>
      </w:r>
    </w:p>
    <w:p>
      <w:pPr>
        <w:pStyle w:val="ListBullet"/>
      </w:pPr>
      <w:r>
        <w:t>Gestion des valeurs manquantes et des incohérences (rapport de chargement).</w:t>
      </w:r>
    </w:p>
    <w:p>
      <w:pPr>
        <w:pStyle w:val="ListBullet"/>
      </w:pPr>
      <w:r>
        <w:t>Dictionnaire de données décrivant chaque table, colonne et type.</w:t>
      </w:r>
    </w:p>
    <w:p>
      <w:pPr>
        <w:pStyle w:val="ListBullet"/>
      </w:pPr>
      <w:r>
        <w:t>Contrôle d'intégrité référentielle : 0 violation de clé étrangère, 0 mesure orpheline.</w:t>
      </w:r>
    </w:p>
    <w:p>
      <w:pPr>
        <w:pStyle w:val="Heading2"/>
      </w:pPr>
      <w:r>
        <w:t>5.4 Optimisation des requêtes (avant / après index)</w:t>
      </w:r>
    </w:p>
    <w:p>
      <w:r>
        <w:rPr>
          <w:b w:val="0"/>
          <w:i w:val="0"/>
        </w:rPr>
        <w:t>Conformément au référentiel, le temps d'exécution est comparé entre version non optimisée et version optimisée. La création d'index fait passer le plan d'exécution d'un parcours complet à une recherche indexée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Plan d'exécution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Temps (120 000 requêtes)</w:t>
            </w:r>
          </w:p>
        </w:tc>
      </w:tr>
      <w:tr>
        <w:tc>
          <w:tcPr>
            <w:tcW w:type="dxa" w:w="2880"/>
          </w:tcPr>
          <w:p>
            <w:r/>
            <w:r>
              <w:t>Non optimisée</w:t>
            </w:r>
          </w:p>
        </w:tc>
        <w:tc>
          <w:tcPr>
            <w:tcW w:type="dxa" w:w="2880"/>
          </w:tcPr>
          <w:p>
            <w:r/>
            <w:r>
              <w:t>SCAN (parcours complet)</w:t>
            </w:r>
          </w:p>
        </w:tc>
        <w:tc>
          <w:tcPr>
            <w:tcW w:type="dxa" w:w="2880"/>
          </w:tcPr>
          <w:p>
            <w:r/>
            <w:r>
              <w:t>≈ 8,9 s</w:t>
            </w:r>
          </w:p>
        </w:tc>
      </w:tr>
      <w:tr>
        <w:tc>
          <w:tcPr>
            <w:tcW w:type="dxa" w:w="2880"/>
          </w:tcPr>
          <w:p>
            <w:r/>
            <w:r>
              <w:t>Optimisée (index)</w:t>
            </w:r>
          </w:p>
        </w:tc>
        <w:tc>
          <w:tcPr>
            <w:tcW w:type="dxa" w:w="2880"/>
          </w:tcPr>
          <w:p>
            <w:r/>
            <w:r>
              <w:t>SEARCH USING INDEX</w:t>
            </w:r>
          </w:p>
        </w:tc>
        <w:tc>
          <w:tcPr>
            <w:tcW w:type="dxa" w:w="2880"/>
          </w:tcPr>
          <w:p>
            <w:r/>
            <w:r>
              <w:t>≈ 5,7 s</w:t>
            </w:r>
          </w:p>
        </w:tc>
      </w:tr>
    </w:tbl>
    <w:p>
      <w:r>
        <w:rPr>
          <w:b w:val="0"/>
          <w:i w:val="0"/>
        </w:rPr>
        <w:t>Le changement de plan (SCAN → SEARCH USING INDEX) est la preuve recherchée ; l'accélération reste modérée (×1,6) du fait de la très petite table.</w:t>
      </w:r>
    </w:p>
    <w:p>
      <w:pPr>
        <w:pStyle w:val="Heading2"/>
      </w:pPr>
      <w:r>
        <w:t>5.5 Analyse supervisée à partir de la base</w:t>
      </w:r>
    </w:p>
    <w:p>
      <w:r>
        <w:rPr>
          <w:b w:val="0"/>
          <w:i w:val="0"/>
        </w:rPr>
        <w:t>Le modèle n'est pas réentraîné depuis le CSV : les données sont extraites de la base par requête SQL (jointure mesure_virale × serotype), puis un Random Forest est entraîné sur 74 % des données. Accuracy = 0,979 contre une baseline de 0,949 — lecture honnête conforme au reste du mémoire.</w:t>
      </w:r>
    </w:p>
    <w:p>
      <w:pPr>
        <w:pStyle w:val="Heading2"/>
      </w:pPr>
      <w:r>
        <w:t>5.6 Sécurité, RGPD et éthique</w:t>
      </w:r>
    </w:p>
    <w:p>
      <w:pPr>
        <w:pStyle w:val="ListBullet"/>
      </w:pPr>
      <w:r>
        <w:t>Minimisation : vue masquant les emails des vétérinaires (donnée personnelle).</w:t>
      </w:r>
    </w:p>
    <w:p>
      <w:pPr>
        <w:pStyle w:val="ListBullet"/>
      </w:pPr>
      <w:r>
        <w:t>Contrôle d'accès : connexion en lecture seule pour les usages non administratifs (écriture refusée).</w:t>
      </w:r>
    </w:p>
    <w:p>
      <w:pPr>
        <w:pStyle w:val="ListBullet"/>
      </w:pPr>
      <w:r>
        <w:t>Données d'exemple uniquement (numéros de fiction ARCEP, domaine exemple.fr).</w:t>
      </w:r>
    </w:p>
    <w:p>
      <w:pPr>
        <w:pStyle w:val="ListBullet"/>
      </w:pPr>
      <w:r>
        <w:t>Charte éthique et cartographie des risques data ; tableau de suivi des problématiques techniques.</w:t>
      </w:r>
    </w:p>
    <w:p>
      <w:pPr>
        <w:pStyle w:val="Heading2"/>
      </w:pPr>
      <w:r>
        <w:t>5.7 Conformité au référentiel (§ Exploitation des données)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D9488"/>
          </w:tcPr>
          <w:p>
            <w:r/>
            <w:r>
              <w:rPr>
                <w:b/>
                <w:color w:val="FFFFFF"/>
              </w:rPr>
              <w:t>Exigence</w:t>
            </w:r>
          </w:p>
        </w:tc>
        <w:tc>
          <w:tcPr>
            <w:tcW w:type="dxa" w:w="4320"/>
            <w:shd w:val="clear" w:fill="0D9488"/>
          </w:tcPr>
          <w:p>
            <w:r/>
            <w:r>
              <w:rPr>
                <w:b/>
                <w:color w:val="FFFFFF"/>
              </w:rPr>
              <w:t>Livrable</w:t>
            </w:r>
          </w:p>
        </w:tc>
      </w:tr>
      <w:tr>
        <w:tc>
          <w:tcPr>
            <w:tcW w:type="dxa" w:w="4320"/>
          </w:tcPr>
          <w:p>
            <w:r/>
            <w:r>
              <w:t>Sources multi-formats unifiées</w:t>
            </w:r>
          </w:p>
        </w:tc>
        <w:tc>
          <w:tcPr>
            <w:tcW w:type="dxa" w:w="4320"/>
          </w:tcPr>
          <w:p>
            <w:r/>
            <w:r>
              <w:t>CSV + JSON + XLSX</w:t>
            </w:r>
          </w:p>
        </w:tc>
      </w:tr>
      <w:tr>
        <w:tc>
          <w:tcPr>
            <w:tcW w:type="dxa" w:w="4320"/>
          </w:tcPr>
          <w:p>
            <w:r/>
            <w:r>
              <w:t>Dictionnaire de données</w:t>
            </w:r>
          </w:p>
        </w:tc>
        <w:tc>
          <w:tcPr>
            <w:tcW w:type="dxa" w:w="4320"/>
          </w:tcPr>
          <w:p>
            <w:r/>
            <w:r>
              <w:t>dictionnaire_donnees.md</w:t>
            </w:r>
          </w:p>
        </w:tc>
      </w:tr>
      <w:tr>
        <w:tc>
          <w:tcPr>
            <w:tcW w:type="dxa" w:w="4320"/>
          </w:tcPr>
          <w:p>
            <w:r/>
            <w:r>
              <w:t>Valeurs manquantes / intégrité</w:t>
            </w:r>
          </w:p>
        </w:tc>
        <w:tc>
          <w:tcPr>
            <w:tcW w:type="dxa" w:w="4320"/>
          </w:tcPr>
          <w:p>
            <w:r/>
            <w:r>
              <w:t>rapport d'ETL</w:t>
            </w:r>
          </w:p>
        </w:tc>
      </w:tr>
      <w:tr>
        <w:tc>
          <w:tcPr>
            <w:tcW w:type="dxa" w:w="4320"/>
          </w:tcPr>
          <w:p>
            <w:r/>
            <w:r>
              <w:t>Comparaison requêtes optimisées / non</w:t>
            </w:r>
          </w:p>
        </w:tc>
        <w:tc>
          <w:tcPr>
            <w:tcW w:type="dxa" w:w="4320"/>
          </w:tcPr>
          <w:p>
            <w:r/>
            <w:r>
              <w:t>rapport d'optimisation</w:t>
            </w:r>
          </w:p>
        </w:tc>
      </w:tr>
      <w:tr>
        <w:tc>
          <w:tcPr>
            <w:tcW w:type="dxa" w:w="4320"/>
          </w:tcPr>
          <w:p>
            <w:r/>
            <w:r>
              <w:t>Analyse supervisée (≥ 70 % train)</w:t>
            </w:r>
          </w:p>
        </w:tc>
        <w:tc>
          <w:tcPr>
            <w:tcW w:type="dxa" w:w="4320"/>
          </w:tcPr>
          <w:p>
            <w:r/>
            <w:r>
              <w:t>ml_depuis_base.py</w:t>
            </w:r>
          </w:p>
        </w:tc>
      </w:tr>
      <w:tr>
        <w:tc>
          <w:tcPr>
            <w:tcW w:type="dxa" w:w="4320"/>
          </w:tcPr>
          <w:p>
            <w:r/>
            <w:r>
              <w:t>Dump SQL</w:t>
            </w:r>
          </w:p>
        </w:tc>
        <w:tc>
          <w:tcPr>
            <w:tcW w:type="dxa" w:w="4320"/>
          </w:tcPr>
          <w:p>
            <w:r/>
            <w:r>
              <w:t>fco_dump.sql</w:t>
            </w:r>
          </w:p>
        </w:tc>
      </w:tr>
      <w:tr>
        <w:tc>
          <w:tcPr>
            <w:tcW w:type="dxa" w:w="4320"/>
          </w:tcPr>
          <w:p>
            <w:r/>
            <w:r>
              <w:t>Sécurité / RGPD</w:t>
            </w:r>
          </w:p>
        </w:tc>
        <w:tc>
          <w:tcPr>
            <w:tcW w:type="dxa" w:w="4320"/>
          </w:tcPr>
          <w:p>
            <w:r/>
            <w:r>
              <w:t>securite_rgpd (vue + lecture seule)</w:t>
            </w:r>
          </w:p>
        </w:tc>
      </w:tr>
    </w:tbl>
    <w:p>
      <w:r>
        <w:br w:type="page"/>
      </w:r>
    </w:p>
    <w:p>
      <w:pPr>
        <w:pStyle w:val="Heading1"/>
      </w:pPr>
      <w:r>
        <w:t>6. Rigueur méthodologique et bonnes pratiques</w:t>
      </w:r>
    </w:p>
    <w:p>
      <w:pPr>
        <w:pStyle w:val="Heading2"/>
      </w:pPr>
      <w:r>
        <w:t>5.1 Erreurs du projet initial (corrigées)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Problème d'origine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Risque</w:t>
            </w:r>
          </w:p>
        </w:tc>
        <w:tc>
          <w:tcPr>
            <w:tcW w:type="dxa" w:w="2880"/>
            <w:shd w:val="clear" w:fill="0D9488"/>
          </w:tcPr>
          <w:p>
            <w:r/>
            <w:r>
              <w:rPr>
                <w:b/>
                <w:color w:val="FFFFFF"/>
              </w:rPr>
              <w:t>Correction</w:t>
            </w:r>
          </w:p>
        </w:tc>
      </w:tr>
      <w:tr>
        <w:tc>
          <w:tcPr>
            <w:tcW w:type="dxa" w:w="2880"/>
          </w:tcPr>
          <w:p>
            <w:r/>
            <w:r>
              <w:t>Labels du RF dérivés d'une feature (seuil sur copies)</w:t>
            </w:r>
          </w:p>
        </w:tc>
        <w:tc>
          <w:tcPr>
            <w:tcW w:type="dxa" w:w="2880"/>
          </w:tcPr>
          <w:p>
            <w:r/>
            <w:r>
              <w:t>Fuite de données → évaluation faussée</w:t>
            </w:r>
          </w:p>
        </w:tc>
        <w:tc>
          <w:tcPr>
            <w:tcW w:type="dxa" w:w="2880"/>
          </w:tcPr>
          <w:p>
            <w:r/>
            <w:r>
              <w:t>Labels issus du sérotype de l'identifiant</w:t>
            </w:r>
          </w:p>
        </w:tc>
      </w:tr>
      <w:tr>
        <w:tc>
          <w:tcPr>
            <w:tcW w:type="dxa" w:w="2880"/>
          </w:tcPr>
          <w:p>
            <w:r/>
            <w:r>
              <w:t>Modèle image = backbone + tête aléatoire non entraînée</w:t>
            </w:r>
          </w:p>
        </w:tc>
        <w:tc>
          <w:tcPr>
            <w:tcW w:type="dxa" w:w="2880"/>
          </w:tcPr>
          <w:p>
            <w:r/>
            <w:r>
              <w:t>Modèle non fonctionnel présenté comme réel</w:t>
            </w:r>
          </w:p>
        </w:tc>
        <w:tc>
          <w:tcPr>
            <w:tcW w:type="dxa" w:w="2880"/>
          </w:tcPr>
          <w:p>
            <w:r/>
            <w:r>
              <w:t>Vrai transfer learning en 2 phases</w:t>
            </w:r>
          </w:p>
        </w:tc>
      </w:tr>
      <w:tr>
        <w:tc>
          <w:tcPr>
            <w:tcW w:type="dxa" w:w="2880"/>
          </w:tcPr>
          <w:p>
            <w:r/>
            <w:r>
              <w:t>Application simulant le diagnostic (np.random)</w:t>
            </w:r>
          </w:p>
        </w:tc>
        <w:tc>
          <w:tcPr>
            <w:tcW w:type="dxa" w:w="2880"/>
          </w:tcPr>
          <w:p>
            <w:r/>
            <w:r>
              <w:t>Résultats fabriqués</w:t>
            </w:r>
          </w:p>
        </w:tc>
        <w:tc>
          <w:tcPr>
            <w:tcW w:type="dxa" w:w="2880"/>
          </w:tcPr>
          <w:p>
            <w:r/>
            <w:r>
              <w:t>Chargement et inférence des vrais modèles</w:t>
            </w:r>
          </w:p>
        </w:tc>
      </w:tr>
      <w:tr>
        <w:tc>
          <w:tcPr>
            <w:tcW w:type="dxa" w:w="2880"/>
          </w:tcPr>
          <w:p>
            <w:r/>
            <w:r>
              <w:t>Données synthétiques pour « entraîner » le RF</w:t>
            </w:r>
          </w:p>
        </w:tc>
        <w:tc>
          <w:tcPr>
            <w:tcW w:type="dxa" w:w="2880"/>
          </w:tcPr>
          <w:p>
            <w:r/>
            <w:r>
              <w:t>Modèle sans valeur</w:t>
            </w:r>
          </w:p>
        </w:tc>
        <w:tc>
          <w:tcPr>
            <w:tcW w:type="dxa" w:w="2880"/>
          </w:tcPr>
          <w:p>
            <w:r/>
            <w:r>
              <w:t>Vraies données expérimentales</w:t>
            </w:r>
          </w:p>
        </w:tc>
      </w:tr>
    </w:tbl>
    <w:p>
      <w:pPr>
        <w:pStyle w:val="Heading2"/>
      </w:pPr>
      <w:r>
        <w:t>5.2 Bonnes pratiques appliquées</w:t>
      </w:r>
    </w:p>
    <w:p>
      <w:pPr>
        <w:pStyle w:val="ListBullet"/>
      </w:pPr>
      <w:r>
        <w:t>Éviter la fuite de données : ne jamais construire la cible à partir d'une variable explicative.</w:t>
      </w:r>
    </w:p>
    <w:p>
      <w:pPr>
        <w:pStyle w:val="ListBullet"/>
      </w:pPr>
      <w:r>
        <w:t>Évaluation honnête : comparer à une baseline (taux de base), utiliser la validation croisée, rapporter la matrice de confusion et pas seulement l'accuracy.</w:t>
      </w:r>
    </w:p>
    <w:p>
      <w:pPr>
        <w:pStyle w:val="ListBullet"/>
      </w:pPr>
      <w:r>
        <w:t>Gestion du déséquilibre : class_weight équilibré et lecture critique des scores.</w:t>
      </w:r>
    </w:p>
    <w:p>
      <w:pPr>
        <w:pStyle w:val="ListBullet"/>
      </w:pPr>
      <w:r>
        <w:t>Explicabilité : Grad-CAM pour l'image, importance par permutation pour le labo.</w:t>
      </w:r>
    </w:p>
    <w:p>
      <w:pPr>
        <w:pStyle w:val="ListBullet"/>
      </w:pPr>
      <w:r>
        <w:t>Honnêteté scientifique : documenter et assumer les limites (biais, confondants, non-reproductibilité).</w:t>
      </w:r>
    </w:p>
    <w:p>
      <w:pPr>
        <w:pStyle w:val="Heading2"/>
      </w:pPr>
      <w:r>
        <w:t>5.3 Comment gérer un petit dataset médical</w:t>
      </w:r>
    </w:p>
    <w:p>
      <w:pPr>
        <w:pStyle w:val="ListBullet"/>
      </w:pPr>
      <w:r>
        <w:t>Transfer learning plutôt qu'un réseau entraîné de zéro.</w:t>
      </w:r>
    </w:p>
    <w:p>
      <w:pPr>
        <w:pStyle w:val="ListBullet"/>
      </w:pPr>
      <w:r>
        <w:t>Augmentation de données modérée et adaptée.</w:t>
      </w:r>
    </w:p>
    <w:p>
      <w:pPr>
        <w:pStyle w:val="ListBullet"/>
      </w:pPr>
      <w:r>
        <w:t>Validation croisée et intervalles de confiance plutôt qu'un unique split.</w:t>
      </w:r>
    </w:p>
    <w:p>
      <w:pPr>
        <w:pStyle w:val="ListBullet"/>
      </w:pPr>
      <w:r>
        <w:t>Vérifier visuellement où le modèle « regarde » (Grad-CAM) pour détecter les biais de raccourci.</w:t>
      </w:r>
    </w:p>
    <w:p>
      <w:pPr>
        <w:pStyle w:val="ListBullet"/>
      </w:pPr>
      <w:r>
        <w:t>Surtout : garantir que les classes ne diffèrent pas par leur source/contexte.</w:t>
      </w:r>
    </w:p>
    <w:p>
      <w:r>
        <w:br w:type="page"/>
      </w:r>
    </w:p>
    <w:p>
      <w:pPr>
        <w:pStyle w:val="Heading1"/>
      </w:pPr>
      <w:r>
        <w:t>7. Limites et perspectives</w:t>
      </w:r>
    </w:p>
    <w:p>
      <w:pPr>
        <w:pStyle w:val="Heading2"/>
      </w:pPr>
      <w:r>
        <w:t>6.1 Limites</w:t>
      </w:r>
    </w:p>
    <w:p>
      <w:pPr>
        <w:pStyle w:val="ListBullet"/>
      </w:pPr>
      <w:r>
        <w:t>Labo : une seule variable réellement informative (la charge) ; la valeur est dans l'analyse, pas la classification.</w:t>
      </w:r>
    </w:p>
    <w:p>
      <w:pPr>
        <w:pStyle w:val="ListBullet"/>
      </w:pPr>
      <w:r>
        <w:t>Image : dataset minuscule et biais de source (clinique vs stock) non totalement éliminé.</w:t>
      </w:r>
    </w:p>
    <w:p>
      <w:pPr>
        <w:pStyle w:val="ListBullet"/>
      </w:pPr>
      <w:r>
        <w:t>Les performances chiffrées (RF 97 %, image 100 %) ne reflètent pas une capacité de généralisation réelle.</w:t>
      </w:r>
    </w:p>
    <w:p>
      <w:pPr>
        <w:pStyle w:val="Heading2"/>
      </w:pPr>
      <w:r>
        <w:t>6.2 Perspectives</w:t>
      </w:r>
    </w:p>
    <w:p>
      <w:pPr>
        <w:pStyle w:val="ListBullet"/>
      </w:pPr>
      <w:r>
        <w:t>Labo : enrichir les variables (partie du corps, espèce, température, plusieurs DPI) pour une vraie modélisation de la compétence vectorielle — là où le Random Forest prendrait tout son sens.</w:t>
      </w:r>
    </w:p>
    <w:p>
      <w:pPr>
        <w:pStyle w:val="ListBullet"/>
      </w:pPr>
      <w:r>
        <w:t>Image : recadrer les deux classes sur la zone d'intérêt (museau, bouche, yeux) ou collecter des images saines de même nature, puis valider sur une source externe.</w:t>
      </w:r>
    </w:p>
    <w:p>
      <w:pPr>
        <w:pStyle w:val="ListBullet"/>
      </w:pPr>
      <w:r>
        <w:t>Calibration des probabilités et seuil d'« incertitude » pour un usage de screening sûr.</w:t>
      </w:r>
    </w:p>
    <w:p>
      <w:r>
        <w:br w:type="page"/>
      </w:r>
    </w:p>
    <w:p>
      <w:pPr>
        <w:pStyle w:val="Heading1"/>
      </w:pPr>
      <w:r>
        <w:t>8. Questions probables du jury et réponses</w:t>
      </w:r>
    </w:p>
    <w:p>
      <w:r>
        <w:rPr>
          <w:b/>
          <w:color w:val="0F233A"/>
        </w:rPr>
        <w:t>Q — Pourquoi un Random Forest et pas un autre modèle ?</w:t>
      </w:r>
    </w:p>
    <w:p>
      <w:r>
        <w:rPr>
          <w:b/>
        </w:rPr>
        <w:t xml:space="preserve">R — </w:t>
      </w:r>
      <w:r>
        <w:t>C'est un modèle robuste, peu sensible à l'échelle des variables, qui gère les non-linéarités et fournit une importance des variables. Mais j'assume que sur ces données il n'apporte presque rien en classification ; je l'utilise surtout comme sonde de séparabilité et outil d'analyse.</w:t>
      </w:r>
    </w:p>
    <w:p>
      <w:r>
        <w:rPr>
          <w:b/>
          <w:color w:val="0F233A"/>
        </w:rPr>
        <w:t>Q — Votre modèle labo fait 97 % : c'est excellent, non ?</w:t>
      </w:r>
    </w:p>
    <w:p>
      <w:r>
        <w:rPr>
          <w:b/>
        </w:rPr>
        <w:t xml:space="preserve">R — </w:t>
      </w:r>
      <w:r>
        <w:t>Non, et c'est justement mon point d'analyse : une baseline « toujours infecté » atteint déjà 94,9 % car le jeu est à 95 % d'infectés. Le modèle n'ajoute que 2,5 points. Le chiffre brut est trompeur.</w:t>
      </w:r>
    </w:p>
    <w:p>
      <w:r>
        <w:rPr>
          <w:b/>
          <w:color w:val="0F233A"/>
        </w:rPr>
        <w:t>Q — Pourquoi ne pas distinguer BTV3 et BTV8 ?</w:t>
      </w:r>
    </w:p>
    <w:p>
      <w:r>
        <w:rPr>
          <w:b/>
        </w:rPr>
        <w:t xml:space="preserve">R — </w:t>
      </w:r>
      <w:r>
        <w:t>Parce que la charge virale ne contient pas d'information sérotypique : les distributions se recouvrent, et même un Random Forest échoue (validation inter-essais sous le niveau du hasard). C'est un résultat, pas un échec.</w:t>
      </w:r>
    </w:p>
    <w:p>
      <w:r>
        <w:rPr>
          <w:b/>
          <w:color w:val="0F233A"/>
        </w:rPr>
        <w:t>Q — Votre modèle image atteint 100 % : il marche ?</w:t>
      </w:r>
    </w:p>
    <w:p>
      <w:r>
        <w:rPr>
          <w:b/>
        </w:rPr>
        <w:t xml:space="preserve">R — </w:t>
      </w:r>
      <w:r>
        <w:t>Ce 100 % est un signal d'alarme. Le dataset oppose des photos de stock (sain) à des figures de PDF clinique (malade) : le réseau peut séparer par la source/le contexte, pas par les lésions. Le Grad-CAM et l'audit le démontrent.</w:t>
      </w:r>
    </w:p>
    <w:p>
      <w:r>
        <w:rPr>
          <w:b/>
          <w:color w:val="0F233A"/>
        </w:rPr>
        <w:t>Q — Comment avez-vous prouvé le biais du modèle image ?</w:t>
      </w:r>
    </w:p>
    <w:p>
      <w:r>
        <w:rPr>
          <w:b/>
        </w:rPr>
        <w:t xml:space="preserve">R — </w:t>
      </w:r>
      <w:r>
        <w:t>Par deux outils : un audit automatique qui a trouvé que 36 % des images « malade » étaient des diapositives/texte du PDF, et le Grad-CAM qui montre le modèle se focalisant sur du texte plutôt que sur l'animal.</w:t>
      </w:r>
    </w:p>
    <w:p>
      <w:r>
        <w:rPr>
          <w:b/>
          <w:color w:val="0F233A"/>
        </w:rPr>
        <w:t>Q — Qu'est-ce que le paradoxe de Simpson dans votre projet ?</w:t>
      </w:r>
    </w:p>
    <w:p>
      <w:r>
        <w:rPr>
          <w:b/>
        </w:rPr>
        <w:t xml:space="preserve">R — </w:t>
      </w:r>
      <w:r>
        <w:t>Regroupées, les données suggèrent une différence BTV3/BTV8 significative ; stratifiées par essai, l'effet s'inverse d'un essai à l'autre. La conclusion groupée est donc confondue par la variable essai.</w:t>
      </w:r>
    </w:p>
    <w:p>
      <w:r>
        <w:rPr>
          <w:b/>
          <w:color w:val="0F233A"/>
        </w:rPr>
        <w:t>Q — Qu'est-ce que le transfer learning et le fine-tuning ?</w:t>
      </w:r>
    </w:p>
    <w:p>
      <w:r>
        <w:rPr>
          <w:b/>
        </w:rPr>
        <w:t xml:space="preserve">R — </w:t>
      </w:r>
      <w:r>
        <w:t>On part d'un réseau (EfficientNet-B0) déjà entraîné sur des millions d'images (ImageNet), on remplace sa tête, on l'entraîne sur nos données (phase 1), puis on dégèle le reste pour l'ajuster finement à faible taux d'apprentissage (phase 2). Indispensable avec peu d'images.</w:t>
      </w:r>
    </w:p>
    <w:p>
      <w:r>
        <w:rPr>
          <w:b/>
          <w:color w:val="0F233A"/>
        </w:rPr>
        <w:t>Q — Comment éviteriez-vous le surapprentissage (overfitting) ?</w:t>
      </w:r>
    </w:p>
    <w:p>
      <w:r>
        <w:rPr>
          <w:b/>
        </w:rPr>
        <w:t xml:space="preserve">R — </w:t>
      </w:r>
      <w:r>
        <w:t>Augmentation de données, early stopping, faible taux d'apprentissage, validation croisée, et surtout un jeu de validation représentatif sans fuite ni quasi-doublons entre train et test.</w:t>
      </w:r>
    </w:p>
    <w:p>
      <w:r>
        <w:rPr>
          <w:b/>
          <w:color w:val="0F233A"/>
        </w:rPr>
        <w:t>Q — Que feriez-vous avec plus de temps / de données ?</w:t>
      </w:r>
    </w:p>
    <w:p>
      <w:r>
        <w:rPr>
          <w:b/>
        </w:rPr>
        <w:t xml:space="preserve">R — </w:t>
      </w:r>
      <w:r>
        <w:t>Côté image : recadrer sur la zone lésionnelle et collecter des images saines de même source. Côté labo : obtenir des covariables expérimentales pour modéliser la compétence vectorielle, où le RF serait pertinent.</w:t>
      </w:r>
    </w:p>
    <w:p>
      <w:r>
        <w:rPr>
          <w:b/>
          <w:color w:val="0F233A"/>
        </w:rPr>
        <w:t>Q — Votre application est-elle un outil de diagnostic ?</w:t>
      </w:r>
    </w:p>
    <w:p>
      <w:r>
        <w:rPr>
          <w:b/>
        </w:rPr>
        <w:t xml:space="preserve">R — </w:t>
      </w:r>
      <w:r>
        <w:t>Non, c'est explicitement un outil d'aide à la décision. L'interface affiche un avertissement et oriente vers un vétérinaire ; la FCO est une maladie à déclaration obligatoire.</w:t>
      </w:r>
    </w:p>
    <w:p>
      <w:r>
        <w:rPr>
          <w:b/>
          <w:color w:val="0F233A"/>
        </w:rPr>
        <w:t>Q — Pourquoi SQLite et pas un serveur MySQL/PostgreSQL ?</w:t>
      </w:r>
    </w:p>
    <w:p>
      <w:r>
        <w:rPr>
          <w:b/>
        </w:rPr>
        <w:t xml:space="preserve">R — </w:t>
      </w:r>
      <w:r>
        <w:t>Le référentiel demande un SGBD cohérent avec la volumétrie : avec ~1 250 lignes, une base embarquée SQLite est le choix techniquement adapté et sobre. Je fournis tout de même une variante MySQL + phpMyAdmin documentée pour l'option serveur avec identifiants et back-office.</w:t>
      </w:r>
    </w:p>
    <w:p>
      <w:r>
        <w:rPr>
          <w:b/>
          <w:color w:val="0F233A"/>
        </w:rPr>
        <w:t>Q — Comment démontrez-vous l'optimisation de la base ?</w:t>
      </w:r>
    </w:p>
    <w:p>
      <w:r>
        <w:rPr>
          <w:b/>
        </w:rPr>
        <w:t xml:space="preserve">R — </w:t>
      </w:r>
      <w:r>
        <w:t>En comparant le plan et le temps d'exécution d'une requête avant et après création d'index : le plan passe de SCAN (parcours complet) à SEARCH USING INDEX. L'application lit d'ailleurs ses données directement depuis la base par requête SQL, pas depuis le CSV.</w:t>
      </w:r>
    </w:p>
    <w:p>
      <w:r>
        <w:br w:type="page"/>
      </w:r>
    </w:p>
    <w:p>
      <w:pPr>
        <w:pStyle w:val="Heading1"/>
      </w:pPr>
      <w:r>
        <w:t>9. Glossaire technique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D9488"/>
          </w:tcPr>
          <w:p>
            <w:r/>
            <w:r>
              <w:rPr>
                <w:b/>
                <w:color w:val="FFFFFF"/>
              </w:rPr>
              <w:t>Terme</w:t>
            </w:r>
          </w:p>
        </w:tc>
        <w:tc>
          <w:tcPr>
            <w:tcW w:type="dxa" w:w="4320"/>
            <w:shd w:val="clear" w:fill="0D9488"/>
          </w:tcPr>
          <w:p>
            <w:r/>
            <w:r>
              <w:rPr>
                <w:b/>
                <w:color w:val="FFFFFF"/>
              </w:rPr>
              <w:t>Définition</w:t>
            </w:r>
          </w:p>
        </w:tc>
      </w:tr>
      <w:tr>
        <w:tc>
          <w:tcPr>
            <w:tcW w:type="dxa" w:w="4320"/>
          </w:tcPr>
          <w:p>
            <w:r/>
            <w:r>
              <w:t>FCO / BTV</w:t>
            </w:r>
          </w:p>
        </w:tc>
        <w:tc>
          <w:tcPr>
            <w:tcW w:type="dxa" w:w="4320"/>
          </w:tcPr>
          <w:p>
            <w:r/>
            <w:r>
              <w:t>Fièvre Catarrhale Ovine ; Bluetongue Virus (orbivirus à sérotypes BTV-3, BTV-8…).</w:t>
            </w:r>
          </w:p>
        </w:tc>
      </w:tr>
      <w:tr>
        <w:tc>
          <w:tcPr>
            <w:tcW w:type="dxa" w:w="4320"/>
          </w:tcPr>
          <w:p>
            <w:r/>
            <w:r>
              <w:t>DPI</w:t>
            </w:r>
          </w:p>
        </w:tc>
        <w:tc>
          <w:tcPr>
            <w:tcW w:type="dxa" w:w="4320"/>
          </w:tcPr>
          <w:p>
            <w:r/>
            <w:r>
              <w:t>Days Post Infection — jours écoulés depuis l'infection (0 ou 6 ici).</w:t>
            </w:r>
          </w:p>
        </w:tc>
      </w:tr>
      <w:tr>
        <w:tc>
          <w:tcPr>
            <w:tcW w:type="dxa" w:w="4320"/>
          </w:tcPr>
          <w:p>
            <w:r/>
            <w:r>
              <w:t>Charge virale</w:t>
            </w:r>
          </w:p>
        </w:tc>
        <w:tc>
          <w:tcPr>
            <w:tcW w:type="dxa" w:w="4320"/>
          </w:tcPr>
          <w:p>
            <w:r/>
            <w:r>
              <w:t>Nombre de copies du génome viral mesurées chez un individu (qPCR).</w:t>
            </w:r>
          </w:p>
        </w:tc>
      </w:tr>
      <w:tr>
        <w:tc>
          <w:tcPr>
            <w:tcW w:type="dxa" w:w="4320"/>
          </w:tcPr>
          <w:p>
            <w:r/>
            <w:r>
              <w:t>NC</w:t>
            </w:r>
          </w:p>
        </w:tc>
        <w:tc>
          <w:tcPr>
            <w:tcW w:type="dxa" w:w="4320"/>
          </w:tcPr>
          <w:p>
            <w:r/>
            <w:r>
              <w:t>Contrôle négatif : individu non infecté (0 copie).</w:t>
            </w:r>
          </w:p>
        </w:tc>
      </w:tr>
      <w:tr>
        <w:tc>
          <w:tcPr>
            <w:tcW w:type="dxa" w:w="4320"/>
          </w:tcPr>
          <w:p>
            <w:r/>
            <w:r>
              <w:t>Compétence vectorielle</w:t>
            </w:r>
          </w:p>
        </w:tc>
        <w:tc>
          <w:tcPr>
            <w:tcW w:type="dxa" w:w="4320"/>
          </w:tcPr>
          <w:p>
            <w:r/>
            <w:r>
              <w:t>Capacité d'un moucheron à répliquer puis transmettre le virus.</w:t>
            </w:r>
          </w:p>
        </w:tc>
      </w:tr>
      <w:tr>
        <w:tc>
          <w:tcPr>
            <w:tcW w:type="dxa" w:w="4320"/>
          </w:tcPr>
          <w:p>
            <w:r/>
            <w:r>
              <w:t>Random Forest</w:t>
            </w:r>
          </w:p>
        </w:tc>
        <w:tc>
          <w:tcPr>
            <w:tcW w:type="dxa" w:w="4320"/>
          </w:tcPr>
          <w:p>
            <w:r/>
            <w:r>
              <w:t>Ensemble d'arbres de décision votant ; robuste, fournit l'importance des variables.</w:t>
            </w:r>
          </w:p>
        </w:tc>
      </w:tr>
      <w:tr>
        <w:tc>
          <w:tcPr>
            <w:tcW w:type="dxa" w:w="4320"/>
          </w:tcPr>
          <w:p>
            <w:r/>
            <w:r>
              <w:t>Transfer learning</w:t>
            </w:r>
          </w:p>
        </w:tc>
        <w:tc>
          <w:tcPr>
            <w:tcW w:type="dxa" w:w="4320"/>
          </w:tcPr>
          <w:p>
            <w:r/>
            <w:r>
              <w:t>Réutiliser un réseau pré-entraîné et l'adapter à une nouvelle tâche.</w:t>
            </w:r>
          </w:p>
        </w:tc>
      </w:tr>
      <w:tr>
        <w:tc>
          <w:tcPr>
            <w:tcW w:type="dxa" w:w="4320"/>
          </w:tcPr>
          <w:p>
            <w:r/>
            <w:r>
              <w:t>Fine-tuning</w:t>
            </w:r>
          </w:p>
        </w:tc>
        <w:tc>
          <w:tcPr>
            <w:tcW w:type="dxa" w:w="4320"/>
          </w:tcPr>
          <w:p>
            <w:r/>
            <w:r>
              <w:t>Ré-ajuster finement les poids d'un modèle pré-entraîné à faible taux d'apprentissage.</w:t>
            </w:r>
          </w:p>
        </w:tc>
      </w:tr>
      <w:tr>
        <w:tc>
          <w:tcPr>
            <w:tcW w:type="dxa" w:w="4320"/>
          </w:tcPr>
          <w:p>
            <w:r/>
            <w:r>
              <w:t>Data augmentation</w:t>
            </w:r>
          </w:p>
        </w:tc>
        <w:tc>
          <w:tcPr>
            <w:tcW w:type="dxa" w:w="4320"/>
          </w:tcPr>
          <w:p>
            <w:r/>
            <w:r>
              <w:t>Transformations aléatoires des images pour augmenter artificiellement le jeu.</w:t>
            </w:r>
          </w:p>
        </w:tc>
      </w:tr>
      <w:tr>
        <w:tc>
          <w:tcPr>
            <w:tcW w:type="dxa" w:w="4320"/>
          </w:tcPr>
          <w:p>
            <w:r/>
            <w:r>
              <w:t>Grad-CAM</w:t>
            </w:r>
          </w:p>
        </w:tc>
        <w:tc>
          <w:tcPr>
            <w:tcW w:type="dxa" w:w="4320"/>
          </w:tcPr>
          <w:p>
            <w:r/>
            <w:r>
              <w:t>Carte de chaleur indiquant les zones de l'image qui influencent la décision du réseau.</w:t>
            </w:r>
          </w:p>
        </w:tc>
      </w:tr>
      <w:tr>
        <w:tc>
          <w:tcPr>
            <w:tcW w:type="dxa" w:w="4320"/>
          </w:tcPr>
          <w:p>
            <w:r/>
            <w:r>
              <w:t>Overfitting</w:t>
            </w:r>
          </w:p>
        </w:tc>
        <w:tc>
          <w:tcPr>
            <w:tcW w:type="dxa" w:w="4320"/>
          </w:tcPr>
          <w:p>
            <w:r/>
            <w:r>
              <w:t>Surapprentissage : le modèle mémorise le train et ne généralise pas.</w:t>
            </w:r>
          </w:p>
        </w:tc>
      </w:tr>
      <w:tr>
        <w:tc>
          <w:tcPr>
            <w:tcW w:type="dxa" w:w="4320"/>
          </w:tcPr>
          <w:p>
            <w:r/>
            <w:r>
              <w:t>Déséquilibre de classes</w:t>
            </w:r>
          </w:p>
        </w:tc>
        <w:tc>
          <w:tcPr>
            <w:tcW w:type="dxa" w:w="4320"/>
          </w:tcPr>
          <w:p>
            <w:r/>
            <w:r>
              <w:t>Une classe domine ; impose de comparer à une baseline et d'équilibrer.</w:t>
            </w:r>
          </w:p>
        </w:tc>
      </w:tr>
      <w:tr>
        <w:tc>
          <w:tcPr>
            <w:tcW w:type="dxa" w:w="4320"/>
          </w:tcPr>
          <w:p>
            <w:r/>
            <w:r>
              <w:t>Validation croisée</w:t>
            </w:r>
          </w:p>
        </w:tc>
        <w:tc>
          <w:tcPr>
            <w:tcW w:type="dxa" w:w="4320"/>
          </w:tcPr>
          <w:p>
            <w:r/>
            <w:r>
              <w:t>Découper les données en plis pour estimer la performance de façon fiable.</w:t>
            </w:r>
          </w:p>
        </w:tc>
      </w:tr>
      <w:tr>
        <w:tc>
          <w:tcPr>
            <w:tcW w:type="dxa" w:w="4320"/>
          </w:tcPr>
          <w:p>
            <w:r/>
            <w:r>
              <w:t>Fuite de données</w:t>
            </w:r>
          </w:p>
        </w:tc>
        <w:tc>
          <w:tcPr>
            <w:tcW w:type="dxa" w:w="4320"/>
          </w:tcPr>
          <w:p>
            <w:r/>
            <w:r>
              <w:t>Information de la cible présente dans les variables → évaluation faussée.</w:t>
            </w:r>
          </w:p>
        </w:tc>
      </w:tr>
      <w:tr>
        <w:tc>
          <w:tcPr>
            <w:tcW w:type="dxa" w:w="4320"/>
          </w:tcPr>
          <w:p>
            <w:r/>
            <w:r>
              <w:t>Paradoxe de Simpson</w:t>
            </w:r>
          </w:p>
        </w:tc>
        <w:tc>
          <w:tcPr>
            <w:tcW w:type="dxa" w:w="4320"/>
          </w:tcPr>
          <w:p>
            <w:r/>
            <w:r>
              <w:t>Une tendance globale qui s'inverse quand on stratifie par une variable cachée.</w:t>
            </w:r>
          </w:p>
        </w:tc>
      </w:tr>
      <w:tr>
        <w:tc>
          <w:tcPr>
            <w:tcW w:type="dxa" w:w="4320"/>
          </w:tcPr>
          <w:p>
            <w:r/>
            <w:r>
              <w:t>Biais de source</w:t>
            </w:r>
          </w:p>
        </w:tc>
        <w:tc>
          <w:tcPr>
            <w:tcW w:type="dxa" w:w="4320"/>
          </w:tcPr>
          <w:p>
            <w:r/>
            <w:r>
              <w:t>Les classes diffèrent par leur origine/contexte, pas par le phénomène étudié.</w:t>
            </w:r>
          </w:p>
        </w:tc>
      </w:tr>
    </w:tbl>
    <w:p/>
    <w:p>
      <w:pPr>
        <w:jc w:val="center"/>
      </w:pPr>
      <w:r>
        <w:rPr>
          <w:i/>
        </w:rPr>
        <w:t>— Fin du dossier technique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23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23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23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