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6953" w14:textId="77777777" w:rsidR="005E6CB8" w:rsidRPr="00CB735C" w:rsidRDefault="005E6CB8" w:rsidP="005E6CB8">
      <w:pPr>
        <w:spacing w:after="40"/>
        <w:ind w:left="720"/>
        <w:jc w:val="center"/>
        <w:rPr>
          <w:rFonts w:asciiTheme="minorHAnsi" w:hAnsiTheme="minorHAnsi"/>
        </w:rPr>
      </w:pPr>
      <w:proofErr w:type="spellStart"/>
      <w:r w:rsidRPr="00CB735C">
        <w:rPr>
          <w:rFonts w:asciiTheme="minorHAnsi" w:hAnsiTheme="minorHAnsi"/>
          <w:b/>
          <w:sz w:val="32"/>
        </w:rPr>
        <w:t>Beejan</w:t>
      </w:r>
      <w:proofErr w:type="spellEnd"/>
      <w:r w:rsidRPr="00CB735C">
        <w:rPr>
          <w:rFonts w:asciiTheme="minorHAnsi" w:hAnsiTheme="minorHAnsi"/>
          <w:b/>
          <w:sz w:val="32"/>
        </w:rPr>
        <w:t xml:space="preserve"> Technologies – Data Pipeline Framework</w:t>
      </w:r>
    </w:p>
    <w:p w14:paraId="068861BC" w14:textId="77777777" w:rsidR="005E6CB8" w:rsidRPr="00CB735C" w:rsidRDefault="005E6CB8" w:rsidP="005E6CB8">
      <w:pPr>
        <w:spacing w:after="100"/>
        <w:ind w:left="720"/>
        <w:jc w:val="center"/>
        <w:rPr>
          <w:rFonts w:asciiTheme="minorHAnsi" w:hAnsiTheme="minorHAnsi"/>
        </w:rPr>
      </w:pPr>
      <w:r w:rsidRPr="00CB735C">
        <w:rPr>
          <w:rFonts w:asciiTheme="minorHAnsi" w:hAnsiTheme="minorHAnsi"/>
          <w:i/>
          <w:sz w:val="18"/>
        </w:rPr>
        <w:t>Design Rationale, Assumptions, Challenges and Production Considerations</w:t>
      </w:r>
    </w:p>
    <w:p w14:paraId="391A0ED6" w14:textId="77777777" w:rsidR="005E6CB8" w:rsidRPr="00CB735C" w:rsidRDefault="005E6CB8" w:rsidP="005E6CB8">
      <w:pPr>
        <w:spacing w:before="100" w:after="40"/>
        <w:jc w:val="both"/>
        <w:rPr>
          <w:rFonts w:asciiTheme="minorHAnsi" w:hAnsiTheme="minorHAnsi"/>
        </w:rPr>
      </w:pPr>
      <w:r w:rsidRPr="00CB735C">
        <w:rPr>
          <w:rFonts w:asciiTheme="minorHAnsi" w:hAnsiTheme="minorHAnsi"/>
          <w:b/>
          <w:sz w:val="24"/>
        </w:rPr>
        <w:t>1. Purpose and Overall Design</w:t>
      </w:r>
    </w:p>
    <w:p w14:paraId="37B801A8" w14:textId="77777777" w:rsidR="005E6CB8" w:rsidRPr="00CB735C" w:rsidRDefault="005E6CB8" w:rsidP="005E6CB8">
      <w:pPr>
        <w:jc w:val="both"/>
        <w:rPr>
          <w:rFonts w:asciiTheme="minorHAnsi" w:hAnsiTheme="minorHAnsi"/>
          <w:sz w:val="20"/>
          <w:szCs w:val="20"/>
        </w:rPr>
      </w:pPr>
      <w:r w:rsidRPr="00CB735C">
        <w:rPr>
          <w:rFonts w:asciiTheme="minorHAnsi" w:hAnsiTheme="minorHAnsi"/>
          <w:sz w:val="20"/>
          <w:szCs w:val="20"/>
        </w:rPr>
        <w:t xml:space="preserve">The proposed framework provides a technology-agnostic view of how </w:t>
      </w:r>
      <w:proofErr w:type="spellStart"/>
      <w:r w:rsidRPr="00CB735C">
        <w:rPr>
          <w:rFonts w:asciiTheme="minorHAnsi" w:hAnsiTheme="minorHAnsi"/>
          <w:sz w:val="20"/>
          <w:szCs w:val="20"/>
        </w:rPr>
        <w:t>Beejan</w:t>
      </w:r>
      <w:proofErr w:type="spellEnd"/>
      <w:r w:rsidRPr="00CB735C">
        <w:rPr>
          <w:rFonts w:asciiTheme="minorHAnsi" w:hAnsiTheme="minorHAnsi"/>
          <w:sz w:val="20"/>
          <w:szCs w:val="20"/>
        </w:rPr>
        <w:t xml:space="preserve"> Technologies could collect, store, transform and serve data from multiple sources. The main flow is Data Sources → Collect &amp; Ingest → Storage → Transform &amp; Model → Serving → Users. Orchestration and </w:t>
      </w:r>
      <w:proofErr w:type="spellStart"/>
      <w:r w:rsidRPr="00CB735C">
        <w:rPr>
          <w:rFonts w:asciiTheme="minorHAnsi" w:hAnsiTheme="minorHAnsi"/>
          <w:sz w:val="20"/>
          <w:szCs w:val="20"/>
        </w:rPr>
        <w:t>DataOps</w:t>
      </w:r>
      <w:proofErr w:type="spellEnd"/>
      <w:r w:rsidRPr="00CB735C">
        <w:rPr>
          <w:rFonts w:asciiTheme="minorHAnsi" w:hAnsiTheme="minorHAnsi"/>
          <w:sz w:val="20"/>
          <w:szCs w:val="20"/>
        </w:rPr>
        <w:t xml:space="preserve"> are shown as cross-cutting capabilities because they support the reliability, automation and operation of the whole pipeline rather than representing separate processing stages</w:t>
      </w:r>
    </w:p>
    <w:p w14:paraId="292462AC" w14:textId="77777777" w:rsidR="005E6CB8" w:rsidRPr="00CB735C" w:rsidRDefault="005E6CB8" w:rsidP="005E6CB8">
      <w:pPr>
        <w:spacing w:before="100" w:after="40"/>
        <w:jc w:val="both"/>
        <w:rPr>
          <w:rFonts w:asciiTheme="minorHAnsi" w:hAnsiTheme="minorHAnsi"/>
        </w:rPr>
      </w:pPr>
      <w:r w:rsidRPr="00CB735C">
        <w:rPr>
          <w:rFonts w:asciiTheme="minorHAnsi" w:hAnsiTheme="minorHAnsi"/>
          <w:b/>
          <w:sz w:val="24"/>
        </w:rPr>
        <w:t>2. Key Design Choices</w:t>
      </w:r>
    </w:p>
    <w:p w14:paraId="73EA35C0" w14:textId="77777777" w:rsidR="005E6CB8" w:rsidRPr="00CB735C" w:rsidRDefault="005E6CB8" w:rsidP="005E6CB8">
      <w:pPr>
        <w:jc w:val="both"/>
        <w:rPr>
          <w:rFonts w:asciiTheme="minorHAnsi" w:hAnsiTheme="minorHAnsi"/>
          <w:sz w:val="20"/>
          <w:szCs w:val="20"/>
        </w:rPr>
      </w:pPr>
      <w:r w:rsidRPr="00CB735C">
        <w:rPr>
          <w:rFonts w:asciiTheme="minorHAnsi" w:hAnsiTheme="minorHAnsi"/>
          <w:sz w:val="20"/>
          <w:szCs w:val="20"/>
        </w:rPr>
        <w:t>The design starts with four sources</w:t>
      </w:r>
      <w:r>
        <w:rPr>
          <w:rFonts w:asciiTheme="minorHAnsi" w:hAnsiTheme="minorHAnsi"/>
          <w:sz w:val="20"/>
          <w:szCs w:val="20"/>
        </w:rPr>
        <w:t xml:space="preserve">; </w:t>
      </w:r>
      <w:r w:rsidRPr="00CB735C">
        <w:rPr>
          <w:rFonts w:asciiTheme="minorHAnsi" w:hAnsiTheme="minorHAnsi"/>
          <w:sz w:val="20"/>
          <w:szCs w:val="20"/>
        </w:rPr>
        <w:t>log files, SMS, website forms and social medi</w:t>
      </w:r>
      <w:r>
        <w:rPr>
          <w:rFonts w:asciiTheme="minorHAnsi" w:hAnsiTheme="minorHAnsi"/>
          <w:sz w:val="20"/>
          <w:szCs w:val="20"/>
        </w:rPr>
        <w:t xml:space="preserve">a; </w:t>
      </w:r>
      <w:r w:rsidRPr="00CB735C">
        <w:rPr>
          <w:rFonts w:asciiTheme="minorHAnsi" w:hAnsiTheme="minorHAnsi"/>
          <w:sz w:val="20"/>
          <w:szCs w:val="20"/>
        </w:rPr>
        <w:t xml:space="preserve">because they represent different structures and ingestion patterns. Website forms are expected to be relatively structured, while SMS and social media may contain more free text and log files may be structured or semi-structured. The architecture therefore avoids if one ingestion method will suit every source. </w:t>
      </w:r>
    </w:p>
    <w:p w14:paraId="7B1CFBB6" w14:textId="77777777" w:rsidR="005E6CB8" w:rsidRPr="00CB735C" w:rsidRDefault="005E6CB8" w:rsidP="005E6CB8">
      <w:pPr>
        <w:jc w:val="both"/>
        <w:rPr>
          <w:rFonts w:asciiTheme="minorHAnsi" w:hAnsiTheme="minorHAnsi"/>
          <w:sz w:val="20"/>
          <w:szCs w:val="20"/>
        </w:rPr>
      </w:pPr>
      <w:r w:rsidRPr="00CB735C">
        <w:rPr>
          <w:rFonts w:asciiTheme="minorHAnsi" w:hAnsiTheme="minorHAnsi"/>
          <w:sz w:val="20"/>
          <w:szCs w:val="20"/>
        </w:rPr>
        <w:t xml:space="preserve">The ingestion layer supports both batch and streaming approaches. This is a deliberate choice: the required frequency should be determined by business need rather than by technology preference. Basic validation is performed at ingestion to identify missing, invalid or unexpected data, while metadata such as source, ingestion time, batch identifier and processing status is captured to support traceability and investigation. The original data format is retained where possible so that it can be reprocessed if required. </w:t>
      </w:r>
    </w:p>
    <w:p w14:paraId="21F163CA" w14:textId="77777777" w:rsidR="005E6CB8" w:rsidRPr="00CB735C" w:rsidRDefault="005E6CB8" w:rsidP="005E6CB8">
      <w:pPr>
        <w:jc w:val="both"/>
        <w:rPr>
          <w:rFonts w:asciiTheme="minorHAnsi" w:hAnsiTheme="minorHAnsi"/>
          <w:sz w:val="20"/>
          <w:szCs w:val="20"/>
        </w:rPr>
      </w:pPr>
      <w:r w:rsidRPr="00CB735C">
        <w:rPr>
          <w:rFonts w:asciiTheme="minorHAnsi" w:hAnsiTheme="minorHAnsi"/>
          <w:sz w:val="20"/>
          <w:szCs w:val="20"/>
        </w:rPr>
        <w:t xml:space="preserve">For storage, the framework chooses a </w:t>
      </w:r>
      <w:proofErr w:type="spellStart"/>
      <w:r w:rsidRPr="00CB735C">
        <w:rPr>
          <w:rFonts w:asciiTheme="minorHAnsi" w:hAnsiTheme="minorHAnsi"/>
          <w:sz w:val="20"/>
          <w:szCs w:val="20"/>
        </w:rPr>
        <w:t>centralised</w:t>
      </w:r>
      <w:proofErr w:type="spellEnd"/>
      <w:r w:rsidRPr="00CB735C">
        <w:rPr>
          <w:rFonts w:asciiTheme="minorHAnsi" w:hAnsiTheme="minorHAnsi"/>
          <w:sz w:val="20"/>
          <w:szCs w:val="20"/>
        </w:rPr>
        <w:t xml:space="preserve"> data lake with three logical layers: Raw Data → Cleaned Data → Business-Ready Data. This is a significant design choice because the stated requirement includes different data formats; the source document therefore </w:t>
      </w:r>
      <w:proofErr w:type="spellStart"/>
      <w:r w:rsidRPr="00CB735C">
        <w:rPr>
          <w:rFonts w:asciiTheme="minorHAnsi" w:hAnsiTheme="minorHAnsi"/>
          <w:sz w:val="20"/>
          <w:szCs w:val="20"/>
        </w:rPr>
        <w:t>favours</w:t>
      </w:r>
      <w:proofErr w:type="spellEnd"/>
      <w:r w:rsidRPr="00CB735C">
        <w:rPr>
          <w:rFonts w:asciiTheme="minorHAnsi" w:hAnsiTheme="minorHAnsi"/>
          <w:sz w:val="20"/>
          <w:szCs w:val="20"/>
        </w:rPr>
        <w:t xml:space="preserve"> a data lake over a warehouse-only approach. The raw layer preserves the source data, the cleaned layer handles validation and </w:t>
      </w:r>
      <w:proofErr w:type="spellStart"/>
      <w:r w:rsidRPr="00CB735C">
        <w:rPr>
          <w:rFonts w:asciiTheme="minorHAnsi" w:hAnsiTheme="minorHAnsi"/>
          <w:sz w:val="20"/>
          <w:szCs w:val="20"/>
        </w:rPr>
        <w:t>standardisation</w:t>
      </w:r>
      <w:proofErr w:type="spellEnd"/>
      <w:r w:rsidRPr="00CB735C">
        <w:rPr>
          <w:rFonts w:asciiTheme="minorHAnsi" w:hAnsiTheme="minorHAnsi"/>
          <w:sz w:val="20"/>
          <w:szCs w:val="20"/>
        </w:rPr>
        <w:t xml:space="preserve">, and the business-ready layer applies common business logic so users can work from consistent datasets. History, security and backup are also considered. </w:t>
      </w:r>
    </w:p>
    <w:p w14:paraId="448DFACC" w14:textId="77777777" w:rsidR="005E6CB8" w:rsidRPr="00CB735C" w:rsidRDefault="005E6CB8" w:rsidP="005E6CB8">
      <w:pPr>
        <w:jc w:val="both"/>
        <w:rPr>
          <w:rFonts w:asciiTheme="minorHAnsi" w:hAnsiTheme="minorHAnsi"/>
          <w:sz w:val="20"/>
          <w:szCs w:val="20"/>
        </w:rPr>
      </w:pPr>
      <w:r w:rsidRPr="00CB735C">
        <w:rPr>
          <w:rFonts w:asciiTheme="minorHAnsi" w:hAnsiTheme="minorHAnsi"/>
          <w:sz w:val="20"/>
          <w:szCs w:val="20"/>
        </w:rPr>
        <w:t xml:space="preserve">Transformation is kept separate from ingestion so that collection focuses on safely bringing data into the platform while transformation focuses on making it useful. Key activities are cleaning, joining data where reliable identifiers exist, enrichment and </w:t>
      </w:r>
      <w:proofErr w:type="spellStart"/>
      <w:r w:rsidRPr="00CB735C">
        <w:rPr>
          <w:rFonts w:asciiTheme="minorHAnsi" w:hAnsiTheme="minorHAnsi"/>
          <w:sz w:val="20"/>
          <w:szCs w:val="20"/>
        </w:rPr>
        <w:t>standardisation</w:t>
      </w:r>
      <w:proofErr w:type="spellEnd"/>
      <w:r w:rsidRPr="00CB735C">
        <w:rPr>
          <w:rFonts w:asciiTheme="minorHAnsi" w:hAnsiTheme="minorHAnsi"/>
          <w:sz w:val="20"/>
          <w:szCs w:val="20"/>
        </w:rPr>
        <w:t>, and aggregation/modeling. Transformations should be repeatable and documented rather than dependent on manual manipulation.</w:t>
      </w:r>
    </w:p>
    <w:p w14:paraId="15DB49B7" w14:textId="77777777" w:rsidR="005E6CB8" w:rsidRPr="00CB735C" w:rsidRDefault="005E6CB8" w:rsidP="005E6CB8">
      <w:pPr>
        <w:jc w:val="both"/>
        <w:rPr>
          <w:rFonts w:asciiTheme="minorHAnsi" w:hAnsiTheme="minorHAnsi"/>
          <w:sz w:val="20"/>
          <w:szCs w:val="20"/>
        </w:rPr>
      </w:pPr>
      <w:r w:rsidRPr="00CB735C">
        <w:rPr>
          <w:rFonts w:asciiTheme="minorHAnsi" w:hAnsiTheme="minorHAnsi"/>
          <w:sz w:val="20"/>
          <w:szCs w:val="20"/>
        </w:rPr>
        <w:t>The serving layer provides prepared data to different consumers, including business users, analysts, applications and data scientists. Output may include reports and dashboards, operational insights, application data and data products. This separation shields users from the complexity of raw data and encourages consumption of trusted, appropriately prepared information.</w:t>
      </w:r>
    </w:p>
    <w:p w14:paraId="18A7B0A6" w14:textId="77777777" w:rsidR="005E6CB8" w:rsidRPr="00CB735C" w:rsidRDefault="005E6CB8" w:rsidP="005E6CB8">
      <w:pPr>
        <w:spacing w:before="100" w:after="40"/>
        <w:jc w:val="both"/>
        <w:rPr>
          <w:rFonts w:asciiTheme="minorHAnsi" w:hAnsiTheme="minorHAnsi"/>
        </w:rPr>
      </w:pPr>
      <w:r w:rsidRPr="00CB735C">
        <w:rPr>
          <w:rFonts w:asciiTheme="minorHAnsi" w:hAnsiTheme="minorHAnsi"/>
          <w:b/>
          <w:sz w:val="24"/>
        </w:rPr>
        <w:t xml:space="preserve">3. Orchestration and </w:t>
      </w:r>
      <w:proofErr w:type="spellStart"/>
      <w:r w:rsidRPr="00CB735C">
        <w:rPr>
          <w:rFonts w:asciiTheme="minorHAnsi" w:hAnsiTheme="minorHAnsi"/>
          <w:b/>
          <w:sz w:val="24"/>
        </w:rPr>
        <w:t>DataOps</w:t>
      </w:r>
      <w:proofErr w:type="spellEnd"/>
    </w:p>
    <w:p w14:paraId="74308880" w14:textId="77777777" w:rsidR="005E6CB8" w:rsidRPr="00CB735C" w:rsidRDefault="005E6CB8" w:rsidP="005E6CB8">
      <w:pPr>
        <w:jc w:val="both"/>
        <w:rPr>
          <w:rFonts w:asciiTheme="minorHAnsi" w:hAnsiTheme="minorHAnsi"/>
          <w:sz w:val="20"/>
          <w:szCs w:val="24"/>
        </w:rPr>
      </w:pPr>
      <w:r w:rsidRPr="00CB735C">
        <w:rPr>
          <w:rFonts w:asciiTheme="minorHAnsi" w:hAnsiTheme="minorHAnsi"/>
          <w:sz w:val="20"/>
          <w:szCs w:val="24"/>
        </w:rPr>
        <w:t>Orchestration is designed to manage workflow dependencies and automate execution: Define Workflow → Schedule &amp; Trigger → Monitor Executions → Retry Upon Failure → Send Alerts. For example, transformation should not proceed if required data has not arrived successfully. Retries can address temporary failures, while alerts ensure issues requiring intervention are visible.</w:t>
      </w:r>
    </w:p>
    <w:p w14:paraId="04F1792F" w14:textId="77777777" w:rsidR="005E6CB8" w:rsidRPr="00CB735C" w:rsidRDefault="005E6CB8" w:rsidP="005E6CB8">
      <w:pPr>
        <w:jc w:val="both"/>
        <w:rPr>
          <w:rFonts w:asciiTheme="minorHAnsi" w:hAnsiTheme="minorHAnsi"/>
          <w:sz w:val="20"/>
          <w:szCs w:val="24"/>
        </w:rPr>
      </w:pPr>
      <w:proofErr w:type="spellStart"/>
      <w:r w:rsidRPr="00CB735C">
        <w:rPr>
          <w:rFonts w:asciiTheme="minorHAnsi" w:hAnsiTheme="minorHAnsi"/>
          <w:sz w:val="20"/>
          <w:szCs w:val="24"/>
        </w:rPr>
        <w:t>DataOps</w:t>
      </w:r>
      <w:proofErr w:type="spellEnd"/>
      <w:r w:rsidRPr="00CB735C">
        <w:rPr>
          <w:rFonts w:asciiTheme="minorHAnsi" w:hAnsiTheme="minorHAnsi"/>
          <w:sz w:val="20"/>
          <w:szCs w:val="24"/>
        </w:rPr>
        <w:t xml:space="preserve"> provides the operational foundation around the pipeline. The framework highlights governance, data quality, observability, metadata management, CI/CD and automation, and cost/performance. Together, these controls help ensure that the pipeline is not simply capable of producing data, but can do so consistently, securely and </w:t>
      </w:r>
      <w:r>
        <w:rPr>
          <w:rFonts w:asciiTheme="minorHAnsi" w:hAnsiTheme="minorHAnsi"/>
          <w:sz w:val="20"/>
          <w:szCs w:val="24"/>
        </w:rPr>
        <w:t>efficiently</w:t>
      </w:r>
      <w:r w:rsidRPr="00CB735C">
        <w:rPr>
          <w:rFonts w:asciiTheme="minorHAnsi" w:hAnsiTheme="minorHAnsi"/>
          <w:sz w:val="20"/>
          <w:szCs w:val="24"/>
        </w:rPr>
        <w:t>.</w:t>
      </w:r>
    </w:p>
    <w:p w14:paraId="3EC2BC18" w14:textId="77777777" w:rsidR="005E6CB8" w:rsidRPr="00CB735C" w:rsidRDefault="005E6CB8" w:rsidP="005E6CB8">
      <w:pPr>
        <w:spacing w:before="100" w:after="40"/>
        <w:jc w:val="both"/>
        <w:rPr>
          <w:rFonts w:asciiTheme="minorHAnsi" w:hAnsiTheme="minorHAnsi"/>
        </w:rPr>
      </w:pPr>
      <w:r w:rsidRPr="00CB735C">
        <w:rPr>
          <w:rFonts w:asciiTheme="minorHAnsi" w:hAnsiTheme="minorHAnsi"/>
          <w:b/>
          <w:sz w:val="24"/>
        </w:rPr>
        <w:t>4. Assumptions</w:t>
      </w:r>
    </w:p>
    <w:p w14:paraId="4FB6AB27" w14:textId="77777777" w:rsidR="005E6CB8" w:rsidRPr="00CB735C" w:rsidRDefault="005E6CB8" w:rsidP="005E6CB8">
      <w:pPr>
        <w:jc w:val="both"/>
        <w:rPr>
          <w:rFonts w:asciiTheme="minorHAnsi" w:hAnsiTheme="minorHAnsi"/>
          <w:sz w:val="20"/>
          <w:szCs w:val="24"/>
        </w:rPr>
      </w:pPr>
      <w:r w:rsidRPr="00CB735C">
        <w:rPr>
          <w:rFonts w:asciiTheme="minorHAnsi" w:hAnsiTheme="minorHAnsi"/>
          <w:sz w:val="20"/>
          <w:szCs w:val="24"/>
        </w:rPr>
        <w:t xml:space="preserve">The design is based on several assumptions. The </w:t>
      </w:r>
      <w:proofErr w:type="spellStart"/>
      <w:r w:rsidRPr="00CB735C">
        <w:rPr>
          <w:rFonts w:asciiTheme="minorHAnsi" w:hAnsiTheme="minorHAnsi"/>
          <w:sz w:val="20"/>
          <w:szCs w:val="24"/>
        </w:rPr>
        <w:t>organisation</w:t>
      </w:r>
      <w:proofErr w:type="spellEnd"/>
      <w:r w:rsidRPr="00CB735C">
        <w:rPr>
          <w:rFonts w:asciiTheme="minorHAnsi" w:hAnsiTheme="minorHAnsi"/>
          <w:sz w:val="20"/>
          <w:szCs w:val="24"/>
        </w:rPr>
        <w:t xml:space="preserve"> needs to bring multiple sources into a common environment; the sources differ in format and frequency; historical data has value and should therefore be retained; some information may be personal or sensitive; and the pipeline is ultimately expected to operate as a production service rather than being manually run by an individual.</w:t>
      </w:r>
    </w:p>
    <w:p w14:paraId="2DD0C71E" w14:textId="77777777" w:rsidR="005E6CB8" w:rsidRPr="00CB735C" w:rsidRDefault="005E6CB8" w:rsidP="005E6CB8">
      <w:pPr>
        <w:spacing w:before="100" w:after="40"/>
        <w:jc w:val="both"/>
        <w:rPr>
          <w:rFonts w:asciiTheme="minorHAnsi" w:hAnsiTheme="minorHAnsi"/>
        </w:rPr>
      </w:pPr>
      <w:r w:rsidRPr="00CB735C">
        <w:rPr>
          <w:rFonts w:asciiTheme="minorHAnsi" w:hAnsiTheme="minorHAnsi"/>
          <w:b/>
          <w:sz w:val="24"/>
        </w:rPr>
        <w:t>5. Challenges and Unknowns</w:t>
      </w:r>
    </w:p>
    <w:p w14:paraId="3D739C78" w14:textId="77777777" w:rsidR="005E6CB8" w:rsidRPr="00CB735C" w:rsidRDefault="005E6CB8" w:rsidP="005E6CB8">
      <w:pPr>
        <w:pStyle w:val="ListBullet"/>
        <w:tabs>
          <w:tab w:val="num" w:pos="360"/>
        </w:tabs>
        <w:spacing w:after="30"/>
        <w:ind w:left="288" w:hanging="144"/>
        <w:jc w:val="both"/>
        <w:rPr>
          <w:rFonts w:asciiTheme="minorHAnsi" w:hAnsiTheme="minorHAnsi"/>
          <w:sz w:val="20"/>
          <w:szCs w:val="24"/>
        </w:rPr>
      </w:pPr>
      <w:r w:rsidRPr="00CB735C">
        <w:rPr>
          <w:rFonts w:asciiTheme="minorHAnsi" w:hAnsiTheme="minorHAnsi"/>
          <w:sz w:val="20"/>
          <w:szCs w:val="24"/>
        </w:rPr>
        <w:t>Data volume and frequency are currently unknown. These figures will determine whether batch, streaming or a combination is appropriate.</w:t>
      </w:r>
    </w:p>
    <w:p w14:paraId="174687E1" w14:textId="77777777" w:rsidR="005E6CB8" w:rsidRPr="00CB735C" w:rsidRDefault="005E6CB8" w:rsidP="005E6CB8">
      <w:pPr>
        <w:pStyle w:val="ListBullet"/>
        <w:tabs>
          <w:tab w:val="num" w:pos="360"/>
        </w:tabs>
        <w:spacing w:after="30"/>
        <w:ind w:left="288" w:hanging="144"/>
        <w:jc w:val="both"/>
        <w:rPr>
          <w:rFonts w:asciiTheme="minorHAnsi" w:hAnsiTheme="minorHAnsi"/>
          <w:sz w:val="20"/>
          <w:szCs w:val="24"/>
        </w:rPr>
      </w:pPr>
      <w:r w:rsidRPr="00CB735C">
        <w:rPr>
          <w:rFonts w:asciiTheme="minorHAnsi" w:hAnsiTheme="minorHAnsi"/>
          <w:sz w:val="20"/>
          <w:szCs w:val="24"/>
        </w:rPr>
        <w:t>Data quality may vary significantly between sources, with inconsistent formats, missing information and duplicates requiring different controls.</w:t>
      </w:r>
    </w:p>
    <w:p w14:paraId="07D785E1" w14:textId="77777777" w:rsidR="005E6CB8" w:rsidRPr="00172B42" w:rsidRDefault="005E6CB8" w:rsidP="005E6CB8">
      <w:pPr>
        <w:pStyle w:val="ListBullet"/>
        <w:tabs>
          <w:tab w:val="num" w:pos="360"/>
        </w:tabs>
        <w:spacing w:after="30"/>
        <w:ind w:left="288" w:hanging="144"/>
        <w:jc w:val="both"/>
        <w:rPr>
          <w:rFonts w:asciiTheme="minorHAnsi" w:hAnsiTheme="minorHAnsi"/>
          <w:sz w:val="20"/>
          <w:szCs w:val="24"/>
        </w:rPr>
      </w:pPr>
      <w:r w:rsidRPr="00172B42">
        <w:rPr>
          <w:rFonts w:asciiTheme="minorHAnsi" w:hAnsiTheme="minorHAnsi"/>
          <w:sz w:val="20"/>
          <w:szCs w:val="24"/>
        </w:rPr>
        <w:t>Data integration may be difficult because the sources may not share a reliable common identifier. This is particularly important when attempting to combine websites, SMS, social media and log data.</w:t>
      </w:r>
    </w:p>
    <w:p w14:paraId="7237B29F" w14:textId="77777777" w:rsidR="005E6CB8" w:rsidRPr="00CB735C" w:rsidRDefault="005E6CB8" w:rsidP="005E6CB8">
      <w:pPr>
        <w:pStyle w:val="ListBullet"/>
        <w:tabs>
          <w:tab w:val="num" w:pos="360"/>
        </w:tabs>
        <w:spacing w:after="30"/>
        <w:ind w:left="288" w:hanging="144"/>
        <w:jc w:val="both"/>
        <w:rPr>
          <w:rFonts w:asciiTheme="minorHAnsi" w:hAnsiTheme="minorHAnsi"/>
          <w:sz w:val="20"/>
          <w:szCs w:val="24"/>
        </w:rPr>
      </w:pPr>
      <w:r w:rsidRPr="00CB735C">
        <w:rPr>
          <w:rFonts w:asciiTheme="minorHAnsi" w:hAnsiTheme="minorHAnsi"/>
          <w:sz w:val="20"/>
          <w:szCs w:val="24"/>
        </w:rPr>
        <w:lastRenderedPageBreak/>
        <w:t xml:space="preserve">Social media requires additional consideration of </w:t>
      </w:r>
      <w:proofErr w:type="spellStart"/>
      <w:r w:rsidRPr="00CB735C">
        <w:rPr>
          <w:rFonts w:asciiTheme="minorHAnsi" w:hAnsiTheme="minorHAnsi"/>
          <w:sz w:val="20"/>
          <w:szCs w:val="24"/>
        </w:rPr>
        <w:t>authorised</w:t>
      </w:r>
      <w:proofErr w:type="spellEnd"/>
      <w:r w:rsidRPr="00CB735C">
        <w:rPr>
          <w:rFonts w:asciiTheme="minorHAnsi" w:hAnsiTheme="minorHAnsi"/>
          <w:sz w:val="20"/>
          <w:szCs w:val="24"/>
        </w:rPr>
        <w:t xml:space="preserve"> access, privacy, retention and changing data structures.</w:t>
      </w:r>
    </w:p>
    <w:p w14:paraId="5DCC6C34" w14:textId="77777777" w:rsidR="005E6CB8" w:rsidRPr="00CB735C" w:rsidRDefault="005E6CB8" w:rsidP="005E6CB8">
      <w:pPr>
        <w:pStyle w:val="ListBullet"/>
        <w:tabs>
          <w:tab w:val="num" w:pos="360"/>
        </w:tabs>
        <w:spacing w:after="30"/>
        <w:ind w:left="288" w:hanging="144"/>
        <w:jc w:val="both"/>
        <w:rPr>
          <w:rFonts w:asciiTheme="minorHAnsi" w:hAnsiTheme="minorHAnsi"/>
          <w:sz w:val="20"/>
          <w:szCs w:val="24"/>
        </w:rPr>
      </w:pPr>
      <w:r w:rsidRPr="00CB735C">
        <w:rPr>
          <w:rFonts w:asciiTheme="minorHAnsi" w:hAnsiTheme="minorHAnsi"/>
          <w:sz w:val="20"/>
          <w:szCs w:val="24"/>
        </w:rPr>
        <w:t>Latency requirements have not yet been established. Business needs to determine whether information is required immediately, every few minutes, hourly or daily.</w:t>
      </w:r>
    </w:p>
    <w:p w14:paraId="065FFD35" w14:textId="77777777" w:rsidR="005E6CB8" w:rsidRPr="00CB735C" w:rsidRDefault="005E6CB8" w:rsidP="005E6CB8">
      <w:pPr>
        <w:pStyle w:val="ListBullet"/>
        <w:tabs>
          <w:tab w:val="num" w:pos="360"/>
        </w:tabs>
        <w:spacing w:after="30"/>
        <w:ind w:left="288" w:hanging="144"/>
        <w:jc w:val="both"/>
        <w:rPr>
          <w:rFonts w:asciiTheme="minorHAnsi" w:hAnsiTheme="minorHAnsi"/>
          <w:sz w:val="20"/>
          <w:szCs w:val="24"/>
        </w:rPr>
      </w:pPr>
      <w:r w:rsidRPr="00CB735C">
        <w:rPr>
          <w:rFonts w:asciiTheme="minorHAnsi" w:hAnsiTheme="minorHAnsi"/>
          <w:sz w:val="20"/>
          <w:szCs w:val="24"/>
        </w:rPr>
        <w:t>Availability, security, compliance, performance and cost requirements remain open and should be established before final technology selection.</w:t>
      </w:r>
    </w:p>
    <w:p w14:paraId="2B818677" w14:textId="77777777" w:rsidR="005E6CB8" w:rsidRPr="00CB735C" w:rsidRDefault="005E6CB8" w:rsidP="005E6CB8">
      <w:pPr>
        <w:spacing w:before="100" w:after="40"/>
        <w:jc w:val="both"/>
        <w:rPr>
          <w:rFonts w:asciiTheme="minorHAnsi" w:hAnsiTheme="minorHAnsi"/>
        </w:rPr>
      </w:pPr>
      <w:r w:rsidRPr="00CB735C">
        <w:rPr>
          <w:rFonts w:asciiTheme="minorHAnsi" w:hAnsiTheme="minorHAnsi"/>
          <w:b/>
          <w:sz w:val="24"/>
        </w:rPr>
        <w:t>6. Production Readiness and Next Steps</w:t>
      </w:r>
    </w:p>
    <w:p w14:paraId="23103D27" w14:textId="77777777" w:rsidR="005E6CB8" w:rsidRPr="00CB735C" w:rsidRDefault="005E6CB8" w:rsidP="005E6CB8">
      <w:pPr>
        <w:jc w:val="both"/>
        <w:rPr>
          <w:rFonts w:asciiTheme="minorHAnsi" w:hAnsiTheme="minorHAnsi"/>
          <w:sz w:val="20"/>
          <w:szCs w:val="24"/>
        </w:rPr>
      </w:pPr>
      <w:r w:rsidRPr="00CB735C">
        <w:rPr>
          <w:rFonts w:asciiTheme="minorHAnsi" w:hAnsiTheme="minorHAnsi"/>
          <w:sz w:val="20"/>
          <w:szCs w:val="24"/>
        </w:rPr>
        <w:t>The intended path is Development → Testing → Production. Before production, the pipeline should have automated tests, configuration management, data-quality checks and version control. In production, monitoring, logging, alerting and recovery processes are required. The key design objective is to move from a pipeline that works when manually run to one that runs reliably without manual management of every step.</w:t>
      </w:r>
    </w:p>
    <w:p w14:paraId="4106C44E" w14:textId="77777777" w:rsidR="005E6CB8" w:rsidRPr="00CB735C" w:rsidRDefault="005E6CB8" w:rsidP="005E6CB8">
      <w:pPr>
        <w:jc w:val="both"/>
        <w:rPr>
          <w:rFonts w:asciiTheme="minorHAnsi" w:hAnsiTheme="minorHAnsi"/>
          <w:sz w:val="20"/>
          <w:szCs w:val="24"/>
        </w:rPr>
      </w:pPr>
      <w:r w:rsidRPr="00CB735C">
        <w:rPr>
          <w:rFonts w:asciiTheme="minorHAnsi" w:hAnsiTheme="minorHAnsi"/>
          <w:sz w:val="20"/>
          <w:szCs w:val="24"/>
        </w:rPr>
        <w:t>The framework should therefore be treated as a foundation for subsequent technology decisions, not as a final implementation. The next stage is to establish the outstanding requirements</w:t>
      </w:r>
      <w:r>
        <w:rPr>
          <w:rFonts w:asciiTheme="minorHAnsi" w:hAnsiTheme="minorHAnsi"/>
          <w:sz w:val="20"/>
          <w:szCs w:val="24"/>
        </w:rPr>
        <w:t xml:space="preserve">; </w:t>
      </w:r>
      <w:r w:rsidRPr="00CB735C">
        <w:rPr>
          <w:rFonts w:asciiTheme="minorHAnsi" w:hAnsiTheme="minorHAnsi"/>
          <w:sz w:val="20"/>
          <w:szCs w:val="24"/>
        </w:rPr>
        <w:t>data volumes, ingestion frequency, latency, quality expectations, security, retention, cost and availability</w:t>
      </w:r>
      <w:r>
        <w:rPr>
          <w:rFonts w:asciiTheme="minorHAnsi" w:hAnsiTheme="minorHAnsi"/>
          <w:sz w:val="20"/>
          <w:szCs w:val="24"/>
        </w:rPr>
        <w:t xml:space="preserve">; </w:t>
      </w:r>
      <w:r w:rsidRPr="00CB735C">
        <w:rPr>
          <w:rFonts w:asciiTheme="minorHAnsi" w:hAnsiTheme="minorHAnsi"/>
          <w:sz w:val="20"/>
          <w:szCs w:val="24"/>
        </w:rPr>
        <w:t>and then evaluate implementation options against those requirements.</w:t>
      </w:r>
    </w:p>
    <w:p w14:paraId="132D5404" w14:textId="77777777" w:rsidR="00B711AC" w:rsidRDefault="00B711AC"/>
    <w:sectPr w:rsidR="00B711AC" w:rsidSect="005E6CB8">
      <w:footerReference w:type="default" r:id="rId5"/>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B496" w14:textId="77777777" w:rsidR="005E6CB8" w:rsidRDefault="005E6CB8">
    <w:pPr>
      <w:pStyle w:val="Footer"/>
      <w:jc w:val="cen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B893D4"/>
    <w:lvl w:ilvl="0">
      <w:start w:val="1"/>
      <w:numFmt w:val="bullet"/>
      <w:pStyle w:val="ListBullet"/>
      <w:lvlText w:val=""/>
      <w:lvlJc w:val="left"/>
      <w:pPr>
        <w:tabs>
          <w:tab w:val="num" w:pos="360"/>
        </w:tabs>
        <w:ind w:left="360" w:hanging="360"/>
      </w:pPr>
      <w:rPr>
        <w:rFonts w:ascii="Symbol" w:hAnsi="Symbol" w:hint="default"/>
      </w:rPr>
    </w:lvl>
  </w:abstractNum>
  <w:num w:numId="1" w16cid:durableId="977295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CB8"/>
    <w:rsid w:val="001F0C96"/>
    <w:rsid w:val="005E6CB8"/>
    <w:rsid w:val="0083301B"/>
    <w:rsid w:val="00B711AC"/>
    <w:rsid w:val="00F222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9D5D"/>
  <w15:chartTrackingRefBased/>
  <w15:docId w15:val="{453F2962-1216-4495-96CF-9B4ED1C1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CB8"/>
    <w:pPr>
      <w:spacing w:after="60" w:line="240" w:lineRule="auto"/>
    </w:pPr>
    <w:rPr>
      <w:rFonts w:ascii="Aptos" w:eastAsiaTheme="minorEastAsia" w:hAnsi="Aptos"/>
      <w:kern w:val="0"/>
      <w:sz w:val="19"/>
      <w:lang w:val="en-US"/>
      <w14:ligatures w14:val="none"/>
    </w:rPr>
  </w:style>
  <w:style w:type="paragraph" w:styleId="Heading1">
    <w:name w:val="heading 1"/>
    <w:basedOn w:val="Normal"/>
    <w:next w:val="Normal"/>
    <w:link w:val="Heading1Char"/>
    <w:uiPriority w:val="9"/>
    <w:qFormat/>
    <w:rsid w:val="005E6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CB8"/>
    <w:rPr>
      <w:rFonts w:eastAsiaTheme="majorEastAsia" w:cstheme="majorBidi"/>
      <w:color w:val="272727" w:themeColor="text1" w:themeTint="D8"/>
    </w:rPr>
  </w:style>
  <w:style w:type="paragraph" w:styleId="Title">
    <w:name w:val="Title"/>
    <w:basedOn w:val="Normal"/>
    <w:next w:val="Normal"/>
    <w:link w:val="TitleChar"/>
    <w:uiPriority w:val="10"/>
    <w:qFormat/>
    <w:rsid w:val="005E6C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CB8"/>
    <w:pPr>
      <w:spacing w:before="160"/>
      <w:jc w:val="center"/>
    </w:pPr>
    <w:rPr>
      <w:i/>
      <w:iCs/>
      <w:color w:val="404040" w:themeColor="text1" w:themeTint="BF"/>
    </w:rPr>
  </w:style>
  <w:style w:type="character" w:customStyle="1" w:styleId="QuoteChar">
    <w:name w:val="Quote Char"/>
    <w:basedOn w:val="DefaultParagraphFont"/>
    <w:link w:val="Quote"/>
    <w:uiPriority w:val="29"/>
    <w:rsid w:val="005E6CB8"/>
    <w:rPr>
      <w:i/>
      <w:iCs/>
      <w:color w:val="404040" w:themeColor="text1" w:themeTint="BF"/>
    </w:rPr>
  </w:style>
  <w:style w:type="paragraph" w:styleId="ListParagraph">
    <w:name w:val="List Paragraph"/>
    <w:basedOn w:val="Normal"/>
    <w:uiPriority w:val="34"/>
    <w:qFormat/>
    <w:rsid w:val="005E6CB8"/>
    <w:pPr>
      <w:ind w:left="720"/>
      <w:contextualSpacing/>
    </w:pPr>
  </w:style>
  <w:style w:type="character" w:styleId="IntenseEmphasis">
    <w:name w:val="Intense Emphasis"/>
    <w:basedOn w:val="DefaultParagraphFont"/>
    <w:uiPriority w:val="21"/>
    <w:qFormat/>
    <w:rsid w:val="005E6CB8"/>
    <w:rPr>
      <w:i/>
      <w:iCs/>
      <w:color w:val="0F4761" w:themeColor="accent1" w:themeShade="BF"/>
    </w:rPr>
  </w:style>
  <w:style w:type="paragraph" w:styleId="IntenseQuote">
    <w:name w:val="Intense Quote"/>
    <w:basedOn w:val="Normal"/>
    <w:next w:val="Normal"/>
    <w:link w:val="IntenseQuoteChar"/>
    <w:uiPriority w:val="30"/>
    <w:qFormat/>
    <w:rsid w:val="005E6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CB8"/>
    <w:rPr>
      <w:i/>
      <w:iCs/>
      <w:color w:val="0F4761" w:themeColor="accent1" w:themeShade="BF"/>
    </w:rPr>
  </w:style>
  <w:style w:type="character" w:styleId="IntenseReference">
    <w:name w:val="Intense Reference"/>
    <w:basedOn w:val="DefaultParagraphFont"/>
    <w:uiPriority w:val="32"/>
    <w:qFormat/>
    <w:rsid w:val="005E6CB8"/>
    <w:rPr>
      <w:b/>
      <w:bCs/>
      <w:smallCaps/>
      <w:color w:val="0F4761" w:themeColor="accent1" w:themeShade="BF"/>
      <w:spacing w:val="5"/>
    </w:rPr>
  </w:style>
  <w:style w:type="paragraph" w:styleId="Footer">
    <w:name w:val="footer"/>
    <w:basedOn w:val="Normal"/>
    <w:link w:val="FooterChar"/>
    <w:uiPriority w:val="99"/>
    <w:unhideWhenUsed/>
    <w:rsid w:val="005E6CB8"/>
    <w:pPr>
      <w:tabs>
        <w:tab w:val="center" w:pos="4680"/>
        <w:tab w:val="right" w:pos="9360"/>
      </w:tabs>
      <w:spacing w:after="0"/>
    </w:pPr>
  </w:style>
  <w:style w:type="character" w:customStyle="1" w:styleId="FooterChar">
    <w:name w:val="Footer Char"/>
    <w:basedOn w:val="DefaultParagraphFont"/>
    <w:link w:val="Footer"/>
    <w:uiPriority w:val="99"/>
    <w:rsid w:val="005E6CB8"/>
    <w:rPr>
      <w:rFonts w:ascii="Aptos" w:eastAsiaTheme="minorEastAsia" w:hAnsi="Aptos"/>
      <w:kern w:val="0"/>
      <w:sz w:val="19"/>
      <w:lang w:val="en-US"/>
      <w14:ligatures w14:val="none"/>
    </w:rPr>
  </w:style>
  <w:style w:type="paragraph" w:styleId="ListBullet">
    <w:name w:val="List Bullet"/>
    <w:basedOn w:val="Normal"/>
    <w:uiPriority w:val="99"/>
    <w:unhideWhenUsed/>
    <w:rsid w:val="005E6CB8"/>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Adesokan</dc:creator>
  <cp:keywords/>
  <dc:description/>
  <cp:lastModifiedBy>Abdulmalik Adesokan</cp:lastModifiedBy>
  <cp:revision>1</cp:revision>
  <dcterms:created xsi:type="dcterms:W3CDTF">2026-08-30T09:37:00Z</dcterms:created>
  <dcterms:modified xsi:type="dcterms:W3CDTF">2026-08-30T09:38:00Z</dcterms:modified>
</cp:coreProperties>
</file>