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 exemplar</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Customers will be purchasing from various locations, including Europe, so it is important that their data is protected. </w:t>
      </w:r>
      <w:r w:rsidDel="00000000" w:rsidR="00000000" w:rsidRPr="00000000">
        <w:rPr>
          <w:rtl w:val="0"/>
        </w:rPr>
      </w:r>
    </w:p>
    <w:p w:rsidR="00000000" w:rsidDel="00000000" w:rsidP="00000000" w:rsidRDefault="00000000" w:rsidRPr="00000000" w14:paraId="00000008">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Given that a majority of customers utilize card payments for store purchases, this standard holds significant importance. Adhering to it will establish a secure environment for each customer, effectively minimizing the risk of vendor fraud.</w:t>
      </w:r>
      <w:r w:rsidDel="00000000" w:rsidR="00000000" w:rsidRPr="00000000">
        <w:rPr>
          <w:rtl w:val="0"/>
        </w:rPr>
      </w:r>
    </w:p>
    <w:p w:rsidR="00000000" w:rsidDel="00000000" w:rsidP="00000000" w:rsidRDefault="00000000" w:rsidRPr="00000000" w14:paraId="0000000B">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Compliance with this regulation and standard is imperative, as it is obligatory to safeguard the information of every customer. Non-compliance will have adverse repercussions for the customer and impede the objective of enhancing system controls.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