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p>
    <w:p>
      <w:pPr>
        <w:spacing w:before="0" w:after="100"/>
      </w:pPr>
    </w:p>
    <w:p>
      <w:pPr>
        <w:spacing w:before="0" w:after="100"/>
      </w:pPr>
    </w:p>
    <w:p>
      <w:pPr>
        <w:spacing w:before="0" w:after="100"/>
      </w:pPr>
    </w:p>
    <w:p>
      <w:pPr>
        <w:spacing w:before="0" w:after="100"/>
      </w:pPr>
    </w:p>
    <w:p>
      <w:pPr>
        <w:spacing w:before="0" w:after="100"/>
      </w:pPr>
    </w:p>
    <w:p>
      <w:pPr>
        <w:spacing w:before="0" w:after="120"/>
        <w:jc w:val="center"/>
      </w:pPr>
      <w:r>
        <w:rPr>
          <w:rFonts w:ascii="Arial" w:cs="Arial" w:eastAsia="Arial" w:hAnsi="Arial"/>
          <w:b/>
          <w:bCs/>
          <w:color w:val="1A6B3C"/>
          <w:sz w:val="64"/>
          <w:szCs w:val="64"/>
        </w:rPr>
        <w:t xml:space="preserve">CultivaX</w:t>
      </w:r>
    </w:p>
    <w:p>
      <w:pPr>
        <w:spacing w:before="0" w:after="120"/>
        <w:jc w:val="center"/>
      </w:pPr>
      <w:r>
        <w:rPr>
          <w:rFonts w:ascii="Arial" w:cs="Arial" w:eastAsia="Arial" w:hAnsi="Arial"/>
          <w:b/>
          <w:bCs/>
          <w:color w:val="1C1C1C"/>
          <w:sz w:val="32"/>
          <w:szCs w:val="32"/>
        </w:rPr>
        <w:t xml:space="preserve">MSDD — CONTENT ENHANCEMENT ANALYSIS</w:t>
      </w:r>
    </w:p>
    <w:p>
      <w:pPr>
        <w:spacing w:before="0" w:after="240"/>
        <w:jc w:val="center"/>
      </w:pPr>
      <w:r>
        <w:rPr>
          <w:rFonts w:ascii="Arial" w:cs="Arial" w:eastAsia="Arial" w:hAnsi="Arial"/>
          <w:i/>
          <w:iCs/>
          <w:color w:val="555555"/>
          <w:sz w:val="24"/>
          <w:szCs w:val="24"/>
        </w:rPr>
        <w:t xml:space="preserve">Deep-Dive Review of All 13 Sections + Missing Architecture Modules</w:t>
      </w:r>
    </w:p>
    <w:p>
      <w:pPr>
        <w:pBdr>
          <w:bottom w:val="single" w:color="1A6B3C" w:sz="4"/>
        </w:pBdr>
        <w:spacing w:before="0" w:after="240"/>
        <w:jc w:val="center"/>
      </w:pPr>
    </w:p>
    <w:p>
      <w:pPr>
        <w:spacing w:before="0" w:after="100"/>
      </w:pPr>
    </w:p>
    <w:p>
      <w:pPr>
        <w:spacing w:before="0" w:after="100"/>
      </w:pPr>
    </w:p>
    <w:p>
      <w:pPr>
        <w:spacing w:before="0" w:after="100"/>
      </w:pPr>
    </w:p>
    <w:p>
      <w:pPr>
        <w:spacing w:before="0" w:after="100"/>
      </w:pPr>
    </w:p>
    <w:p>
      <w:pPr>
        <w:jc w:val="center"/>
      </w:pPr>
      <w:r>
        <w:rPr>
          <w:rFonts w:ascii="Arial" w:cs="Arial" w:eastAsia="Arial" w:hAnsi="Arial"/>
          <w:color w:val="777777"/>
          <w:sz w:val="22"/>
          <w:szCs w:val="22"/>
        </w:rPr>
        <w:t xml:space="preserve">February 2026</w:t>
      </w:r>
    </w:p>
    <w:p>
      <w:r>
        <w:br w:type="page"/>
      </w:r>
    </w:p>
    <w:p>
      <w:pPr>
        <w:pStyle w:val="Heading1"/>
        <w:pBdr>
          <w:bottom w:val="single" w:color="1A6B3C" w:sz="4" w:space="4"/>
        </w:pBdr>
        <w:spacing w:before="360" w:after="120"/>
      </w:pPr>
      <w:r>
        <w:rPr>
          <w:rFonts w:ascii="Arial" w:cs="Arial" w:eastAsia="Arial" w:hAnsi="Arial"/>
          <w:b/>
          <w:bCs/>
          <w:color w:val="1A6B3C"/>
          <w:sz w:val="32"/>
          <w:szCs w:val="32"/>
        </w:rPr>
        <w:t xml:space="preserve">Preamble: Scope &amp; Methodology</w:t>
      </w:r>
    </w:p>
    <w:p>
      <w:pPr>
        <w:spacing w:before="60" w:after="80"/>
        <w:ind/>
      </w:pPr>
      <w:r>
        <w:rPr>
          <w:rFonts w:ascii="Arial" w:cs="Arial" w:eastAsia="Arial" w:hAnsi="Arial"/>
          <w:color w:val="1C1C1C"/>
          <w:sz w:val="22"/>
          <w:szCs w:val="22"/>
        </w:rPr>
        <w:t xml:space="preserve">This document is a comprehensive content enhancement analysis of the CultivaX Master System Design Document (MSDD) and its accompanying Tech Stack specification. Both documents were read in full before a single enhancement was written. The review identifies two categories of gaps:</w:t>
      </w:r>
    </w:p>
    <w:p>
      <w:pPr>
        <w:pStyle w:val="ListParagraph"/>
        <w:numPr>
          <w:ilvl w:val="0"/>
          <w:numId w:val="2"/>
        </w:numPr>
        <w:spacing w:before="40" w:after="40"/>
      </w:pPr>
      <w:r>
        <w:rPr>
          <w:rFonts w:ascii="Arial" w:cs="Arial" w:eastAsia="Arial" w:hAnsi="Arial"/>
          <w:b w:val="false"/>
          <w:bCs w:val="false"/>
          <w:color w:val="1C1C1C"/>
          <w:sz w:val="22"/>
          <w:szCs w:val="22"/>
        </w:rPr>
        <w:t xml:space="preserve">Intra-section gaps — places where a section exists but a specific sub-specification is absent, undefined, or logically incomplete.</w:t>
      </w:r>
    </w:p>
    <w:p>
      <w:pPr>
        <w:pStyle w:val="ListParagraph"/>
        <w:numPr>
          <w:ilvl w:val="0"/>
          <w:numId w:val="2"/>
        </w:numPr>
        <w:spacing w:before="40" w:after="40"/>
      </w:pPr>
      <w:r>
        <w:rPr>
          <w:rFonts w:ascii="Arial" w:cs="Arial" w:eastAsia="Arial" w:hAnsi="Arial"/>
          <w:b w:val="false"/>
          <w:bCs w:val="false"/>
          <w:color w:val="1C1C1C"/>
          <w:sz w:val="22"/>
          <w:szCs w:val="22"/>
        </w:rPr>
        <w:t xml:space="preserve">Missing modules — entire architectural concerns that the MSDD does not address at all but that are critical to the system's integrity, usability, or defensibility.</w:t>
      </w:r>
    </w:p>
    <w:p>
      <w:pPr>
        <w:spacing w:before="60" w:after="80"/>
        <w:ind/>
      </w:pPr>
      <w:r>
        <w:rPr>
          <w:rFonts w:ascii="Arial" w:cs="Arial" w:eastAsia="Arial" w:hAnsi="Arial"/>
          <w:color w:val="1C1C1C"/>
          <w:sz w:val="22"/>
          <w:szCs w:val="22"/>
        </w:rPr>
        <w:t xml:space="preserve">Every enhancement below is purely content-driven. No formatting or structural suggestions are made. Each enhancement specifies exactly what needs to be defined and why it matters for the system.</w:t>
      </w:r>
    </w:p>
    <w:p>
      <w:pPr>
        <w:spacing w:before="0" w:after="100"/>
      </w:pPr>
    </w:p>
    <w:p>
      <w:r>
        <w:br w:type="page"/>
      </w:r>
    </w:p>
    <w:p>
      <w:pPr>
        <w:pStyle w:val="Heading1"/>
        <w:pBdr>
          <w:bottom w:val="single" w:color="1A6B3C" w:sz="4" w:space="4"/>
        </w:pBdr>
        <w:spacing w:before="360" w:after="120"/>
      </w:pPr>
      <w:r>
        <w:rPr>
          <w:rFonts w:ascii="Arial" w:cs="Arial" w:eastAsia="Arial" w:hAnsi="Arial"/>
          <w:b/>
          <w:bCs/>
          <w:color w:val="1A6B3C"/>
          <w:sz w:val="32"/>
          <w:szCs w:val="32"/>
        </w:rPr>
        <w:t xml:space="preserve">PART I: Missing Architecture Modules</w:t>
      </w:r>
    </w:p>
    <w:p>
      <w:pPr>
        <w:spacing w:before="60" w:after="80"/>
        <w:ind/>
      </w:pPr>
      <w:r>
        <w:rPr>
          <w:rFonts w:ascii="Arial" w:cs="Arial" w:eastAsia="Arial" w:hAnsi="Arial"/>
          <w:color w:val="1C1C1C"/>
          <w:sz w:val="22"/>
          <w:szCs w:val="22"/>
        </w:rPr>
        <w:t xml:space="preserve">The following are entirely absent from the MSDD. These are not minor omissions — they represent systems that every user of CultivaX will interact with or that are foundational to the system's correctness.</w:t>
      </w:r>
    </w:p>
    <w:p>
      <w:pPr>
        <w:spacing w:before="0" w:after="100"/>
      </w:pPr>
    </w:p>
    <w:p>
      <w:pPr>
        <w:pStyle w:val="Heading2"/>
        <w:spacing w:before="280" w:after="80"/>
      </w:pPr>
      <w:r>
        <w:rPr>
          <w:rFonts w:ascii="Arial" w:cs="Arial" w:eastAsia="Arial" w:hAnsi="Arial"/>
          <w:b/>
          <w:bCs/>
          <w:color w:val="1C1C1C"/>
          <w:sz w:val="26"/>
          <w:szCs w:val="26"/>
        </w:rPr>
        <w:t xml:space="preserve">Missing Module 1 — Notification Architecture (Proposed Section 14)</w:t>
      </w:r>
    </w:p>
    <w:p>
      <w:pPr>
        <w:spacing w:before="60" w:after="80"/>
        <w:ind/>
      </w:pPr>
      <w:r>
        <w:rPr>
          <w:rFonts w:ascii="Arial" w:cs="Arial" w:eastAsia="Arial" w:hAnsi="Arial"/>
          <w:color w:val="1C1C1C"/>
          <w:sz w:val="22"/>
          <w:szCs w:val="22"/>
        </w:rPr>
        <w:t xml:space="preserve">Alerts are mentioned in Sections 1, 3, 4, 6, and 9 at least 30 times. CTIS transitions to AtRisk state and 'triggers alert.' The media pipeline triggers an alert if a threshold is crossed. Weather updates trigger alerts. But nowhere in the 188-page MSDD is there a specification for how any of these alerts actually work.</w:t>
      </w:r>
    </w:p>
    <w:p>
      <w:pPr>
        <w:spacing w:before="0" w:after="100"/>
      </w:pPr>
    </w:p>
    <w:p>
      <w:pPr>
        <w:pStyle w:val="Heading3"/>
        <w:spacing w:before="200" w:after="60"/>
      </w:pPr>
      <w:r>
        <w:rPr>
          <w:rFonts w:ascii="Arial" w:cs="Arial" w:eastAsia="Arial" w:hAnsi="Arial"/>
          <w:b/>
          <w:bCs/>
          <w:color w:val="2E5C3E"/>
          <w:sz w:val="22"/>
          <w:szCs w:val="22"/>
        </w:rPr>
        <w:t xml:space="preserve">14.1 The Alert Emission Problem</w:t>
      </w:r>
    </w:p>
    <w:p>
      <w:pPr>
        <w:spacing w:before="60" w:after="80"/>
        <w:ind/>
      </w:pPr>
      <w:r>
        <w:rPr>
          <w:rFonts w:ascii="Arial" w:cs="Arial" w:eastAsia="Arial" w:hAnsi="Arial"/>
          <w:color w:val="1C1C1C"/>
          <w:sz w:val="22"/>
          <w:szCs w:val="22"/>
        </w:rPr>
        <w:t xml:space="preserve">Right now, the document describes events like ReplayTriggered, MediaAnalyzed, WeatherUpdated — all of which may result in an alert — but the alert itself is not modelled as a first-class entity. The result is that alert logic will be scattered unpredictably across CTIS, the event dispatcher, and the media pipeline during implementation.</w:t>
      </w:r>
    </w:p>
    <w:p>
      <w:pPr>
        <w:spacing w:before="60" w:after="80"/>
        <w:ind/>
      </w:pPr>
      <w:r>
        <w:rPr>
          <w:rFonts w:ascii="Arial" w:cs="Arial" w:eastAsia="Arial" w:hAnsi="Arial"/>
          <w:color w:val="1C1C1C"/>
          <w:sz w:val="22"/>
          <w:szCs w:val="22"/>
        </w:rPr>
        <w:t xml:space="preserve">A dedicated notification system must be defined with the following components:</w:t>
      </w:r>
    </w:p>
    <w:p>
      <w:pPr>
        <w:spacing w:before="0" w:after="100"/>
      </w:pPr>
    </w:p>
    <w:p>
      <w:pPr>
        <w:pStyle w:val="Heading3"/>
        <w:spacing w:before="200" w:after="60"/>
      </w:pPr>
      <w:r>
        <w:rPr>
          <w:rFonts w:ascii="Arial" w:cs="Arial" w:eastAsia="Arial" w:hAnsi="Arial"/>
          <w:b/>
          <w:bCs/>
          <w:color w:val="2E5C3E"/>
          <w:sz w:val="22"/>
          <w:szCs w:val="22"/>
        </w:rPr>
        <w:t xml:space="preserve">14.2 Alert Entity Model</w:t>
      </w:r>
    </w:p>
    <w:p>
      <w:pPr>
        <w:spacing w:before="60" w:after="80"/>
        <w:ind/>
      </w:pPr>
      <w:r>
        <w:rPr>
          <w:rFonts w:ascii="Arial" w:cs="Arial" w:eastAsia="Arial" w:hAnsi="Arial"/>
          <w:color w:val="1C1C1C"/>
          <w:sz w:val="22"/>
          <w:szCs w:val="22"/>
        </w:rPr>
        <w:t xml:space="preserve">Each alert must be a structured entity stored in an alerts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alert_id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Primary key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farmer_id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FK</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Target recipient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crop_instance_id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FK nullable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Relevant crop, if any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alert_type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E.g. AtRisk, IrrigationDue, HarvestWindow, WeatherWarning, PestProbable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urgency_level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ENUM</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Low / Medium / High / Critical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source_event_id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FK</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Event that generated this alert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message_key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Translation key (not raw string)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delivery_channels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JSONB</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Which channels are active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Pending / Delivered / Acknowledged / Dismissed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Creation time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delivered_at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First successful delivery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acknowledged_at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Farmer explicitly acknowledged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TIMESTAMP</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19"/>
                <w:szCs w:val="19"/>
              </w:rPr>
              <w:t xml:space="preserve">After which alert is stale</w:t>
            </w:r>
          </w:p>
        </w:tc>
      </w:tr>
    </w:tbl>
    <w:p>
      <w:pPr>
        <w:spacing w:before="0" w:after="100"/>
      </w:pPr>
    </w:p>
    <w:p>
      <w:pPr>
        <w:pStyle w:val="Heading3"/>
        <w:spacing w:before="200" w:after="60"/>
      </w:pPr>
      <w:r>
        <w:rPr>
          <w:rFonts w:ascii="Arial" w:cs="Arial" w:eastAsia="Arial" w:hAnsi="Arial"/>
          <w:b/>
          <w:bCs/>
          <w:color w:val="2E5C3E"/>
          <w:sz w:val="22"/>
          <w:szCs w:val="22"/>
        </w:rPr>
        <w:t xml:space="preserve">14.3 Alert Types and Their Triggers</w:t>
      </w:r>
    </w:p>
    <w:p>
      <w:pPr>
        <w:spacing w:before="60" w:after="80"/>
        <w:ind/>
      </w:pPr>
      <w:r>
        <w:rPr>
          <w:rFonts w:ascii="Arial" w:cs="Arial" w:eastAsia="Arial" w:hAnsi="Arial"/>
          <w:color w:val="1C1C1C"/>
          <w:sz w:val="22"/>
          <w:szCs w:val="22"/>
        </w:rPr>
        <w:t xml:space="preserve">The following mapping must be explicit in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Triggering Event</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AtRisk transition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 machine → AtRisk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C0392B"/>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IrrigationDue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Rule engine window open</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6B3C"/>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FertilizerDue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Rule engine window open</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6B3C"/>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HarvestApproaching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Days to harvest &lt; threshold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D68910"/>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WeatherWarning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WeatherUpdated → risk spike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D68910"/>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PestProbable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pest_density_index &gt; threshold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D68910"/>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StageDeviation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Delay threshold crossed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A6B3C"/>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SyncRequired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Device offline &gt; X days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9"/>
                <w:szCs w:val="19"/>
              </w:rPr>
              <w:t xml:space="preserve">Low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ServiceAvailable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SOE provider matched</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9"/>
                <w:szCs w:val="19"/>
              </w:rPr>
              <w:t xml:space="preserve">Low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ReplayFailed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Replay engine error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555555"/>
                <w:sz w:val="19"/>
                <w:szCs w:val="19"/>
              </w:rPr>
              <w:t xml:space="preserve">Critical (admin only)</w:t>
            </w:r>
          </w:p>
        </w:tc>
      </w:tr>
    </w:tbl>
    <w:p>
      <w:pPr>
        <w:spacing w:before="0" w:after="100"/>
      </w:pPr>
    </w:p>
    <w:p>
      <w:pPr>
        <w:pStyle w:val="Heading3"/>
        <w:spacing w:before="200" w:after="60"/>
      </w:pPr>
      <w:r>
        <w:rPr>
          <w:rFonts w:ascii="Arial" w:cs="Arial" w:eastAsia="Arial" w:hAnsi="Arial"/>
          <w:b/>
          <w:bCs/>
          <w:color w:val="2E5C3E"/>
          <w:sz w:val="22"/>
          <w:szCs w:val="22"/>
        </w:rPr>
        <w:t xml:space="preserve">14.4 Notification Throttling Policy</w:t>
      </w:r>
    </w:p>
    <w:p>
      <w:pPr>
        <w:spacing w:before="60" w:after="80"/>
        <w:ind/>
      </w:pPr>
      <w:r>
        <w:rPr>
          <w:rFonts w:ascii="Arial" w:cs="Arial" w:eastAsia="Arial" w:hAnsi="Arial"/>
          <w:color w:val="1C1C1C"/>
          <w:sz w:val="22"/>
          <w:szCs w:val="22"/>
        </w:rPr>
        <w:t xml:space="preserve">Without throttling, the notification system becomes noise. The MSDD never defines this. The following rules must be enforced:</w:t>
      </w:r>
    </w:p>
    <w:p>
      <w:pPr>
        <w:pStyle w:val="ListParagraph"/>
        <w:numPr>
          <w:ilvl w:val="0"/>
          <w:numId w:val="2"/>
        </w:numPr>
        <w:spacing w:before="40" w:after="40"/>
      </w:pPr>
      <w:r>
        <w:rPr>
          <w:rFonts w:ascii="Arial" w:cs="Arial" w:eastAsia="Arial" w:hAnsi="Arial"/>
          <w:b w:val="false"/>
          <w:bCs w:val="false"/>
          <w:color w:val="1C1C1C"/>
          <w:sz w:val="22"/>
          <w:szCs w:val="22"/>
        </w:rPr>
        <w:t xml:space="preserve">No more than 3 alerts per crop instance per 24-hour window, except Critical urgency which bypasses this limit.</w:t>
      </w:r>
    </w:p>
    <w:p>
      <w:pPr>
        <w:pStyle w:val="ListParagraph"/>
        <w:numPr>
          <w:ilvl w:val="0"/>
          <w:numId w:val="2"/>
        </w:numPr>
        <w:spacing w:before="40" w:after="40"/>
      </w:pPr>
      <w:r>
        <w:rPr>
          <w:rFonts w:ascii="Arial" w:cs="Arial" w:eastAsia="Arial" w:hAnsi="Arial"/>
          <w:b w:val="false"/>
          <w:bCs w:val="false"/>
          <w:color w:val="1C1C1C"/>
          <w:sz w:val="22"/>
          <w:szCs w:val="22"/>
        </w:rPr>
        <w:t xml:space="preserve">Duplicate alerts of the same alert_type for the same crop instance must be suppressed if one is already in Pending or Delivered status and not yet expired.</w:t>
      </w:r>
    </w:p>
    <w:p>
      <w:pPr>
        <w:pStyle w:val="ListParagraph"/>
        <w:numPr>
          <w:ilvl w:val="0"/>
          <w:numId w:val="2"/>
        </w:numPr>
        <w:spacing w:before="40" w:after="40"/>
      </w:pPr>
      <w:r>
        <w:rPr>
          <w:rFonts w:ascii="Arial" w:cs="Arial" w:eastAsia="Arial" w:hAnsi="Arial"/>
          <w:b w:val="false"/>
          <w:bCs w:val="false"/>
          <w:color w:val="1C1C1C"/>
          <w:sz w:val="22"/>
          <w:szCs w:val="22"/>
        </w:rPr>
        <w:t xml:space="preserve">IrrigationDue and FertilizerDue alerts must be suppressed once the relevant action has been logged (ActionLogged of matching type resets the alert).</w:t>
      </w:r>
    </w:p>
    <w:p>
      <w:pPr>
        <w:pStyle w:val="ListParagraph"/>
        <w:numPr>
          <w:ilvl w:val="0"/>
          <w:numId w:val="2"/>
        </w:numPr>
        <w:spacing w:before="40" w:after="40"/>
      </w:pPr>
      <w:r>
        <w:rPr>
          <w:rFonts w:ascii="Arial" w:cs="Arial" w:eastAsia="Arial" w:hAnsi="Arial"/>
          <w:b w:val="false"/>
          <w:bCs w:val="false"/>
          <w:color w:val="1C1C1C"/>
          <w:sz w:val="22"/>
          <w:szCs w:val="22"/>
        </w:rPr>
        <w:t xml:space="preserve">Quiet hours must be configurable per farmer (default 10PM–6AM local time). Low and Medium urgency alerts are batched until quiet hours end. Critical alerts are never suppressed.</w:t>
      </w:r>
    </w:p>
    <w:p>
      <w:pPr>
        <w:spacing w:before="0" w:after="100"/>
      </w:pPr>
    </w:p>
    <w:p>
      <w:pPr>
        <w:pStyle w:val="Heading3"/>
        <w:spacing w:before="200" w:after="60"/>
      </w:pPr>
      <w:r>
        <w:rPr>
          <w:rFonts w:ascii="Arial" w:cs="Arial" w:eastAsia="Arial" w:hAnsi="Arial"/>
          <w:b/>
          <w:bCs/>
          <w:color w:val="2E5C3E"/>
          <w:sz w:val="22"/>
          <w:szCs w:val="22"/>
        </w:rPr>
        <w:t xml:space="preserve">14.5 Delivery Channels &amp; Fallback Chain</w:t>
      </w:r>
    </w:p>
    <w:p>
      <w:pPr>
        <w:spacing w:before="60" w:after="80"/>
        <w:ind/>
      </w:pPr>
      <w:r>
        <w:rPr>
          <w:rFonts w:ascii="Arial" w:cs="Arial" w:eastAsia="Arial" w:hAnsi="Arial"/>
          <w:color w:val="1C1C1C"/>
          <w:sz w:val="22"/>
          <w:szCs w:val="22"/>
        </w:rPr>
        <w:t xml:space="preserve">The MSDD defines WhatsApp and web/PWA as interfaces but never specifies how alerts travel through them. The delivery chain must be:</w:t>
      </w:r>
    </w:p>
    <w:p>
      <w:pPr>
        <w:pStyle w:val="ListParagraph"/>
        <w:numPr>
          <w:ilvl w:val="0"/>
          <w:numId w:val="3"/>
        </w:numPr>
        <w:spacing w:before="40" w:after="40"/>
      </w:pPr>
      <w:r>
        <w:rPr>
          <w:rFonts w:ascii="Arial" w:cs="Arial" w:eastAsia="Arial" w:hAnsi="Arial"/>
          <w:b w:val="false"/>
          <w:bCs w:val="false"/>
          <w:color w:val="1C1C1C"/>
          <w:sz w:val="22"/>
          <w:szCs w:val="22"/>
        </w:rPr>
        <w:t xml:space="preserve">In-app push notification (PWA service worker) — primary for online users.</w:t>
      </w:r>
    </w:p>
    <w:p>
      <w:pPr>
        <w:pStyle w:val="ListParagraph"/>
        <w:numPr>
          <w:ilvl w:val="0"/>
          <w:numId w:val="3"/>
        </w:numPr>
        <w:spacing w:before="40" w:after="40"/>
      </w:pPr>
      <w:r>
        <w:rPr>
          <w:rFonts w:ascii="Arial" w:cs="Arial" w:eastAsia="Arial" w:hAnsi="Arial"/>
          <w:b w:val="false"/>
          <w:bCs w:val="false"/>
          <w:color w:val="1C1C1C"/>
          <w:sz w:val="22"/>
          <w:szCs w:val="22"/>
        </w:rPr>
        <w:t xml:space="preserve">WhatsApp notification message — for users in WhatsApp mode or when offline threshold exceeded.</w:t>
      </w:r>
    </w:p>
    <w:p>
      <w:pPr>
        <w:pStyle w:val="ListParagraph"/>
        <w:numPr>
          <w:ilvl w:val="0"/>
          <w:numId w:val="3"/>
        </w:numPr>
        <w:spacing w:before="40" w:after="40"/>
      </w:pPr>
      <w:r>
        <w:rPr>
          <w:rFonts w:ascii="Arial" w:cs="Arial" w:eastAsia="Arial" w:hAnsi="Arial"/>
          <w:b w:val="false"/>
          <w:bCs w:val="false"/>
          <w:color w:val="1C1C1C"/>
          <w:sz w:val="22"/>
          <w:szCs w:val="22"/>
        </w:rPr>
        <w:t xml:space="preserve">SMS fallback — for Critical alerts only, if WhatsApp delivery not confirmed within X minutes.</w:t>
      </w:r>
    </w:p>
    <w:p>
      <w:pPr>
        <w:spacing w:before="60" w:after="80"/>
        <w:ind/>
      </w:pPr>
      <w:r>
        <w:rPr>
          <w:rFonts w:ascii="Arial" w:cs="Arial" w:eastAsia="Arial" w:hAnsi="Arial"/>
          <w:color w:val="1C1C1C"/>
          <w:sz w:val="22"/>
          <w:szCs w:val="22"/>
        </w:rPr>
        <w:t xml:space="preserve">Each channel must update the alert entity with delivery_channel_used and delivered_at. If all channels fail, the alert must surface prominently on next login.</w:t>
      </w:r>
    </w:p>
    <w:p>
      <w:pPr>
        <w:spacing w:before="0" w:after="100"/>
      </w:pPr>
    </w:p>
    <w:p>
      <w:pPr>
        <w:pStyle w:val="Heading3"/>
        <w:spacing w:before="200" w:after="60"/>
      </w:pPr>
      <w:r>
        <w:rPr>
          <w:rFonts w:ascii="Arial" w:cs="Arial" w:eastAsia="Arial" w:hAnsi="Arial"/>
          <w:b/>
          <w:bCs/>
          <w:color w:val="2E5C3E"/>
          <w:sz w:val="22"/>
          <w:szCs w:val="22"/>
        </w:rPr>
        <w:t xml:space="preserve">14.6 Alert and Event Dispatcher Interaction</w:t>
      </w:r>
    </w:p>
    <w:p>
      <w:pPr>
        <w:spacing w:before="60" w:after="80"/>
        <w:ind/>
      </w:pPr>
      <w:r>
        <w:rPr>
          <w:rFonts w:ascii="Arial" w:cs="Arial" w:eastAsia="Arial" w:hAnsi="Arial"/>
          <w:color w:val="1C1C1C"/>
          <w:sz w:val="22"/>
          <w:szCs w:val="22"/>
        </w:rPr>
        <w:t xml:space="preserve">Alerts must be generated by the Event Dispatcher, not by individual modules. Each module (CTIS, ML, media pipeline) emits its events as normal. The Event Dispatcher, upon processing certain events, checks alert rules and emits a separate AlertGenerated event. This keeps alert logic centralized and prevents each module from independently managing notifications — which would lead to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before="40" w:after="60"/>
            </w:pPr>
            <w:r>
              <w:rPr>
                <w:rFonts w:ascii="Arial" w:cs="Arial" w:eastAsia="Arial" w:hAnsi="Arial"/>
                <w:b/>
                <w:bCs/>
                <w:color w:val="1A6B3C"/>
                <w:sz w:val="22"/>
                <w:szCs w:val="22"/>
              </w:rPr>
              <w:t xml:space="preserve">Isolation Rule</w:t>
            </w:r>
          </w:p>
          <w:p>
            <w:pPr>
              <w:spacing w:before="0" w:after="40"/>
            </w:pPr>
            <w:r>
              <w:rPr>
                <w:rFonts w:ascii="Arial" w:cs="Arial" w:eastAsia="Arial" w:hAnsi="Arial"/>
                <w:color w:val="1C1C1C"/>
                <w:sz w:val="20"/>
                <w:szCs w:val="20"/>
              </w:rPr>
              <w:t xml:space="preserve">Alert generation logic must live only in the Event Dispatcher layer. CTIS, SOE, and the ML subsystems must never directly write to the alerts table. They emit events; the Dispatcher decides whether an alert is warranted based on configurable alert rules stored in an alert_rules configuration table.</w:t>
            </w:r>
          </w:p>
        </w:tc>
      </w:tr>
    </w:tbl>
    <w:p>
      <w:pPr>
        <w:spacing w:before="0" w:after="100"/>
      </w:pPr>
    </w:p>
    <w:p>
      <w:pPr>
        <w:pStyle w:val="Heading2"/>
        <w:spacing w:before="280" w:after="80"/>
      </w:pPr>
      <w:r>
        <w:rPr>
          <w:rFonts w:ascii="Arial" w:cs="Arial" w:eastAsia="Arial" w:hAnsi="Arial"/>
          <w:b/>
          <w:bCs/>
          <w:color w:val="1C1C1C"/>
          <w:sz w:val="26"/>
          <w:szCs w:val="26"/>
        </w:rPr>
        <w:t xml:space="preserve">Missing Module 2 — Recommendation Engine (Proposed Section 15)</w:t>
      </w:r>
    </w:p>
    <w:p>
      <w:pPr>
        <w:spacing w:before="60" w:after="80"/>
        <w:ind/>
      </w:pPr>
      <w:r>
        <w:rPr>
          <w:rFonts w:ascii="Arial" w:cs="Arial" w:eastAsia="Arial" w:hAnsi="Arial"/>
          <w:color w:val="1C1C1C"/>
          <w:sz w:val="22"/>
          <w:szCs w:val="22"/>
        </w:rPr>
        <w:t xml:space="preserve">The word 'recommendation' appears over 40 times in the MSDD. Yet there is no specification for how recommendations are generated, what data they consume, how they are formatted, or how they are ranked. This is not a minor detail — for a low-literacy farmer checking their phone in the morning, the quality and clarity of today's recommendation is the entire value proposition of CultivaX.</w:t>
      </w:r>
    </w:p>
    <w:p>
      <w:pPr>
        <w:spacing w:before="0" w:after="100"/>
      </w:pPr>
    </w:p>
    <w:p>
      <w:pPr>
        <w:pStyle w:val="Heading3"/>
        <w:spacing w:before="200" w:after="60"/>
      </w:pPr>
      <w:r>
        <w:rPr>
          <w:rFonts w:ascii="Arial" w:cs="Arial" w:eastAsia="Arial" w:hAnsi="Arial"/>
          <w:b/>
          <w:bCs/>
          <w:color w:val="2E5C3E"/>
          <w:sz w:val="22"/>
          <w:szCs w:val="22"/>
        </w:rPr>
        <w:t xml:space="preserve">15.1 Recommendation vs Alert: The Missing Distinction</w:t>
      </w:r>
    </w:p>
    <w:p>
      <w:pPr>
        <w:spacing w:before="60" w:after="80"/>
        <w:ind/>
      </w:pPr>
      <w:r>
        <w:rPr>
          <w:rFonts w:ascii="Arial" w:cs="Arial" w:eastAsia="Arial" w:hAnsi="Arial"/>
          <w:color w:val="1C1C1C"/>
          <w:sz w:val="22"/>
          <w:szCs w:val="22"/>
        </w:rPr>
        <w:t xml:space="preserve">The MSDD conflates alerts (urgent, event-triggered, push-delivered) with recommendations (advisory, proactive, calendar-based). These are fundamentally different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Origin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Event-triggered</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Time/stage driven + ML assisted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Urgency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notable</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Advisory by default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Delivery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Push / WhatsApp</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In-app card, updated daily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Persistence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Until acknowledged</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Refreshed each morning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Volume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(exceptions)</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1–3 per day per crop</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9"/>
                <w:szCs w:val="19"/>
              </w:rPr>
              <w:t xml:space="preserve">Authority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 something happened</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Suggestive — farmer decides</w:t>
            </w:r>
          </w:p>
        </w:tc>
      </w:tr>
    </w:tbl>
    <w:p>
      <w:pPr>
        <w:spacing w:before="0" w:after="100"/>
      </w:pPr>
    </w:p>
    <w:p>
      <w:pPr>
        <w:pStyle w:val="Heading3"/>
        <w:spacing w:before="200" w:after="60"/>
      </w:pPr>
      <w:r>
        <w:rPr>
          <w:rFonts w:ascii="Arial" w:cs="Arial" w:eastAsia="Arial" w:hAnsi="Arial"/>
          <w:b/>
          <w:bCs/>
          <w:color w:val="2E5C3E"/>
          <w:sz w:val="22"/>
          <w:szCs w:val="22"/>
        </w:rPr>
        <w:t xml:space="preserve">15.2 Recommendation Data Model</w:t>
      </w:r>
    </w:p>
    <w:p>
      <w:pPr>
        <w:spacing w:before="60" w:after="80"/>
        <w:ind/>
      </w:pPr>
      <w:r>
        <w:rPr>
          <w:rFonts w:ascii="Arial" w:cs="Arial" w:eastAsia="Arial" w:hAnsi="Arial"/>
          <w:color w:val="1C1C1C"/>
          <w:sz w:val="22"/>
          <w:szCs w:val="22"/>
        </w:rPr>
        <w:t xml:space="preserve">A Recommendation entity must be stored and retrieved, not computed on every UI load:</w:t>
      </w:r>
    </w:p>
    <w:p>
      <w:pPr>
        <w:pStyle w:val="ListParagraph"/>
        <w:numPr>
          <w:ilvl w:val="0"/>
          <w:numId w:val="2"/>
        </w:numPr>
        <w:spacing w:before="40" w:after="40"/>
      </w:pPr>
      <w:r>
        <w:rPr>
          <w:rFonts w:ascii="Arial" w:cs="Arial" w:eastAsia="Arial" w:hAnsi="Arial"/>
          <w:b w:val="false"/>
          <w:bCs w:val="false"/>
          <w:color w:val="1C1C1C"/>
          <w:sz w:val="22"/>
          <w:szCs w:val="22"/>
        </w:rPr>
        <w:t xml:space="preserve">recommendation_id (UUID)</w:t>
      </w:r>
    </w:p>
    <w:p>
      <w:pPr>
        <w:pStyle w:val="ListParagraph"/>
        <w:numPr>
          <w:ilvl w:val="0"/>
          <w:numId w:val="2"/>
        </w:numPr>
        <w:spacing w:before="40" w:after="40"/>
      </w:pPr>
      <w:r>
        <w:rPr>
          <w:rFonts w:ascii="Arial" w:cs="Arial" w:eastAsia="Arial" w:hAnsi="Arial"/>
          <w:b w:val="false"/>
          <w:bCs w:val="false"/>
          <w:color w:val="1C1C1C"/>
          <w:sz w:val="22"/>
          <w:szCs w:val="22"/>
        </w:rPr>
        <w:t xml:space="preserve">crop_instance_id (FK)</w:t>
      </w:r>
    </w:p>
    <w:p>
      <w:pPr>
        <w:pStyle w:val="ListParagraph"/>
        <w:numPr>
          <w:ilvl w:val="0"/>
          <w:numId w:val="2"/>
        </w:numPr>
        <w:spacing w:before="40" w:after="40"/>
      </w:pPr>
      <w:r>
        <w:rPr>
          <w:rFonts w:ascii="Arial" w:cs="Arial" w:eastAsia="Arial" w:hAnsi="Arial"/>
          <w:b w:val="false"/>
          <w:bCs w:val="false"/>
          <w:color w:val="1C1C1C"/>
          <w:sz w:val="22"/>
          <w:szCs w:val="22"/>
        </w:rPr>
        <w:t xml:space="preserve">recommendation_type: irrigation / fertilizer / pest_check / harvest_prep / market_timing / general_advisory</w:t>
      </w:r>
    </w:p>
    <w:p>
      <w:pPr>
        <w:pStyle w:val="ListParagraph"/>
        <w:numPr>
          <w:ilvl w:val="0"/>
          <w:numId w:val="2"/>
        </w:numPr>
        <w:spacing w:before="40" w:after="40"/>
      </w:pPr>
      <w:r>
        <w:rPr>
          <w:rFonts w:ascii="Arial" w:cs="Arial" w:eastAsia="Arial" w:hAnsi="Arial"/>
          <w:b w:val="false"/>
          <w:bCs w:val="false"/>
          <w:color w:val="1C1C1C"/>
          <w:sz w:val="22"/>
          <w:szCs w:val="22"/>
        </w:rPr>
        <w:t xml:space="preserve">priority_rank: 1 = most important today (only 1–3 shown to farmer)</w:t>
      </w:r>
    </w:p>
    <w:p>
      <w:pPr>
        <w:pStyle w:val="ListParagraph"/>
        <w:numPr>
          <w:ilvl w:val="0"/>
          <w:numId w:val="2"/>
        </w:numPr>
        <w:spacing w:before="40" w:after="40"/>
      </w:pPr>
      <w:r>
        <w:rPr>
          <w:rFonts w:ascii="Arial" w:cs="Arial" w:eastAsia="Arial" w:hAnsi="Arial"/>
          <w:b w:val="false"/>
          <w:bCs w:val="false"/>
          <w:color w:val="1C1C1C"/>
          <w:sz w:val="22"/>
          <w:szCs w:val="22"/>
        </w:rPr>
        <w:t xml:space="preserve">message_key: translation key, never raw string</w:t>
      </w:r>
    </w:p>
    <w:p>
      <w:pPr>
        <w:pStyle w:val="ListParagraph"/>
        <w:numPr>
          <w:ilvl w:val="0"/>
          <w:numId w:val="2"/>
        </w:numPr>
        <w:spacing w:before="40" w:after="40"/>
      </w:pPr>
      <w:r>
        <w:rPr>
          <w:rFonts w:ascii="Arial" w:cs="Arial" w:eastAsia="Arial" w:hAnsi="Arial"/>
          <w:b w:val="false"/>
          <w:bCs w:val="false"/>
          <w:color w:val="1C1C1C"/>
          <w:sz w:val="22"/>
          <w:szCs w:val="22"/>
        </w:rPr>
        <w:t xml:space="preserve">message_parameters: JSONB — dynamic values injected into translation template (e.g. { days_delayed: 3 })</w:t>
      </w:r>
    </w:p>
    <w:p>
      <w:pPr>
        <w:pStyle w:val="ListParagraph"/>
        <w:numPr>
          <w:ilvl w:val="0"/>
          <w:numId w:val="2"/>
        </w:numPr>
        <w:spacing w:before="40" w:after="40"/>
      </w:pPr>
      <w:r>
        <w:rPr>
          <w:rFonts w:ascii="Arial" w:cs="Arial" w:eastAsia="Arial" w:hAnsi="Arial"/>
          <w:b w:val="false"/>
          <w:bCs w:val="false"/>
          <w:color w:val="1C1C1C"/>
          <w:sz w:val="22"/>
          <w:szCs w:val="22"/>
        </w:rPr>
        <w:t xml:space="preserve">basis: rule_engine / ml_risk / behavioral_adaptation / regional_cluster — source transparency</w:t>
      </w:r>
    </w:p>
    <w:p>
      <w:pPr>
        <w:pStyle w:val="ListParagraph"/>
        <w:numPr>
          <w:ilvl w:val="0"/>
          <w:numId w:val="2"/>
        </w:numPr>
        <w:spacing w:before="40" w:after="40"/>
      </w:pPr>
      <w:r>
        <w:rPr>
          <w:rFonts w:ascii="Arial" w:cs="Arial" w:eastAsia="Arial" w:hAnsi="Arial"/>
          <w:b w:val="false"/>
          <w:bCs w:val="false"/>
          <w:color w:val="1C1C1C"/>
          <w:sz w:val="22"/>
          <w:szCs w:val="22"/>
        </w:rPr>
        <w:t xml:space="preserve">valid_from / valid_until: the window during which this recommendation is current</w:t>
      </w:r>
    </w:p>
    <w:p>
      <w:pPr>
        <w:pStyle w:val="ListParagraph"/>
        <w:numPr>
          <w:ilvl w:val="0"/>
          <w:numId w:val="2"/>
        </w:numPr>
        <w:spacing w:before="40" w:after="40"/>
      </w:pPr>
      <w:r>
        <w:rPr>
          <w:rFonts w:ascii="Arial" w:cs="Arial" w:eastAsia="Arial" w:hAnsi="Arial"/>
          <w:b w:val="false"/>
          <w:bCs w:val="false"/>
          <w:color w:val="1C1C1C"/>
          <w:sz w:val="22"/>
          <w:szCs w:val="22"/>
        </w:rPr>
        <w:t xml:space="preserve">status: Active / Acted / Dismissed / Expired</w:t>
      </w:r>
    </w:p>
    <w:p>
      <w:pPr>
        <w:pStyle w:val="ListParagraph"/>
        <w:numPr>
          <w:ilvl w:val="0"/>
          <w:numId w:val="2"/>
        </w:numPr>
        <w:spacing w:before="40" w:after="40"/>
      </w:pPr>
      <w:r>
        <w:rPr>
          <w:rFonts w:ascii="Arial" w:cs="Arial" w:eastAsia="Arial" w:hAnsi="Arial"/>
          <w:b w:val="false"/>
          <w:bCs w:val="false"/>
          <w:color w:val="1C1C1C"/>
          <w:sz w:val="22"/>
          <w:szCs w:val="22"/>
        </w:rPr>
        <w:t xml:space="preserve">generated_at: timestamp of last computation</w:t>
      </w:r>
    </w:p>
    <w:p>
      <w:pPr>
        <w:spacing w:before="0" w:after="100"/>
      </w:pPr>
    </w:p>
    <w:p>
      <w:pPr>
        <w:pStyle w:val="Heading3"/>
        <w:spacing w:before="200" w:after="60"/>
      </w:pPr>
      <w:r>
        <w:rPr>
          <w:rFonts w:ascii="Arial" w:cs="Arial" w:eastAsia="Arial" w:hAnsi="Arial"/>
          <w:b/>
          <w:bCs/>
          <w:color w:val="2E5C3E"/>
          <w:sz w:val="22"/>
          <w:szCs w:val="22"/>
        </w:rPr>
        <w:t xml:space="preserve">15.3 Recommendation Priority Formula</w:t>
      </w:r>
    </w:p>
    <w:p>
      <w:pPr>
        <w:spacing w:before="60" w:after="80"/>
        <w:ind/>
      </w:pPr>
      <w:r>
        <w:rPr>
          <w:rFonts w:ascii="Arial" w:cs="Arial" w:eastAsia="Arial" w:hAnsi="Arial"/>
          <w:color w:val="1C1C1C"/>
          <w:sz w:val="22"/>
          <w:szCs w:val="22"/>
        </w:rPr>
        <w:t xml:space="preserve">When multiple recommendations are valid simultaneously, ranking must be deterministic. The proposed formula:</w:t>
      </w:r>
    </w:p>
    <w:p>
      <w:pPr>
        <w:spacing w:before="60" w:after="80"/>
        <w:ind/>
      </w:pPr>
      <w:r>
        <w:rPr>
          <w:rFonts w:ascii="Arial" w:cs="Arial" w:eastAsia="Arial" w:hAnsi="Arial"/>
          <w:color w:val="1C1C1C"/>
          <w:sz w:val="22"/>
          <w:szCs w:val="22"/>
        </w:rPr>
        <w:t xml:space="preserve">Priority Score = (urgency_weight × stage_criticality) + (risk_index × 0.4) + (days_until_deadline × -0.1)</w:t>
      </w:r>
    </w:p>
    <w:p>
      <w:pPr>
        <w:spacing w:before="60" w:after="80"/>
        <w:ind/>
      </w:pPr>
      <w:r>
        <w:rPr>
          <w:rFonts w:ascii="Arial" w:cs="Arial" w:eastAsia="Arial" w:hAnsi="Arial"/>
          <w:color w:val="1C1C1C"/>
          <w:sz w:val="22"/>
          <w:szCs w:val="22"/>
        </w:rPr>
        <w:t xml:space="preserve">Where urgency_weight is derived from recommendation_type (harvest_prep &gt; irrigation &gt; fertilizer &gt; general), stage_criticality is 1.0 in critical growth windows and 0.5 otherwise, and days_until_deadline penalizes recommendations for distant actions.</w:t>
      </w:r>
    </w:p>
    <w:p>
      <w:pPr>
        <w:spacing w:before="60" w:after="80"/>
        <w:ind/>
      </w:pPr>
      <w:r>
        <w:rPr>
          <w:rFonts w:ascii="Arial" w:cs="Arial" w:eastAsia="Arial" w:hAnsi="Arial"/>
          <w:color w:val="1C1C1C"/>
          <w:sz w:val="22"/>
          <w:szCs w:val="22"/>
        </w:rPr>
        <w:t xml:space="preserve">The top 3 scoring recommendations per crop instance are surfaced per day. All others are retained but suppressed unless the farmer explicitly requests 'show all.'</w:t>
      </w:r>
    </w:p>
    <w:p>
      <w:pPr>
        <w:spacing w:before="0" w:after="100"/>
      </w:pPr>
    </w:p>
    <w:p>
      <w:pPr>
        <w:pStyle w:val="Heading3"/>
        <w:spacing w:before="200" w:after="60"/>
      </w:pPr>
      <w:r>
        <w:rPr>
          <w:rFonts w:ascii="Arial" w:cs="Arial" w:eastAsia="Arial" w:hAnsi="Arial"/>
          <w:b/>
          <w:bCs/>
          <w:color w:val="2E5C3E"/>
          <w:sz w:val="22"/>
          <w:szCs w:val="22"/>
        </w:rPr>
        <w:t xml:space="preserve">15.4 Recommendation and Behavioral Adaptation Integration</w:t>
      </w:r>
    </w:p>
    <w:p>
      <w:pPr>
        <w:spacing w:before="60" w:after="80"/>
        <w:ind/>
      </w:pPr>
      <w:r>
        <w:rPr>
          <w:rFonts w:ascii="Arial" w:cs="Arial" w:eastAsia="Arial" w:hAnsi="Arial"/>
          <w:color w:val="1C1C1C"/>
          <w:sz w:val="22"/>
          <w:szCs w:val="22"/>
        </w:rPr>
        <w:t xml:space="preserve">The MSDD defines the behavioral adaptation model (Section 4.2, Layer 3) — the system tracks that a farmer consistently irrigates 2 days late. But it never says how this changes the recommendation. The specification must define: if a farmer's historical deviation offset for irrigation is +2 days, the recommendation must surface 2 days earlier than the rule engine's window opens. This offset must be stored as behavioral_recommendation_offset per action_type per farmer and must be applied at recommendation generation time, not at rule engine time.</w:t>
      </w:r>
    </w:p>
    <w:p>
      <w:pPr>
        <w:spacing w:before="0" w:after="100"/>
      </w:pPr>
    </w:p>
    <w:p>
      <w:pPr>
        <w:pStyle w:val="Heading2"/>
        <w:spacing w:before="280" w:after="80"/>
      </w:pPr>
      <w:r>
        <w:rPr>
          <w:rFonts w:ascii="Arial" w:cs="Arial" w:eastAsia="Arial" w:hAnsi="Arial"/>
          <w:b/>
          <w:bCs/>
          <w:color w:val="1C1C1C"/>
          <w:sz w:val="26"/>
          <w:szCs w:val="26"/>
        </w:rPr>
        <w:t xml:space="preserve">Missing Module 3 — WhatsApp Conversation State Management (Add to Section 7)</w:t>
      </w:r>
    </w:p>
    <w:p>
      <w:pPr>
        <w:spacing w:before="60" w:after="80"/>
        <w:ind/>
      </w:pPr>
      <w:r>
        <w:rPr>
          <w:rFonts w:ascii="Arial" w:cs="Arial" w:eastAsia="Arial" w:hAnsi="Arial"/>
          <w:color w:val="1C1C1C"/>
          <w:sz w:val="22"/>
          <w:szCs w:val="22"/>
        </w:rPr>
        <w:t xml:space="preserve">Section 7.12 defines WhatsApp's structured menu format. But a critical question is left entirely unanswered: when a farmer replies '1 — Completed' to a WhatsApp message, how does the system know which crop and which action this reply refers to? The document assumes structured input but never designs the session state that makes structured input unambiguous.</w:t>
      </w:r>
    </w:p>
    <w:p>
      <w:pPr>
        <w:spacing w:before="0" w:after="100"/>
      </w:pPr>
    </w:p>
    <w:p>
      <w:pPr>
        <w:pStyle w:val="Heading3"/>
        <w:spacing w:before="200" w:after="60"/>
      </w:pPr>
      <w:r>
        <w:rPr>
          <w:rFonts w:ascii="Arial" w:cs="Arial" w:eastAsia="Arial" w:hAnsi="Arial"/>
          <w:b/>
          <w:bCs/>
          <w:color w:val="2E5C3E"/>
          <w:sz w:val="22"/>
          <w:szCs w:val="22"/>
        </w:rPr>
        <w:t xml:space="preserve">7.12.1 WhatsApp Session Entity</w:t>
      </w:r>
    </w:p>
    <w:p>
      <w:pPr>
        <w:spacing w:before="60" w:after="80"/>
        <w:ind/>
      </w:pPr>
      <w:r>
        <w:rPr>
          <w:rFonts w:ascii="Arial" w:cs="Arial" w:eastAsia="Arial" w:hAnsi="Arial"/>
          <w:color w:val="1C1C1C"/>
          <w:sz w:val="22"/>
          <w:szCs w:val="22"/>
        </w:rPr>
        <w:t xml:space="preserve">A whatsapp_sessions table must be defined:</w:t>
      </w:r>
    </w:p>
    <w:p>
      <w:pPr>
        <w:pStyle w:val="ListParagraph"/>
        <w:numPr>
          <w:ilvl w:val="0"/>
          <w:numId w:val="2"/>
        </w:numPr>
        <w:spacing w:before="40" w:after="40"/>
      </w:pPr>
      <w:r>
        <w:rPr>
          <w:rFonts w:ascii="Arial" w:cs="Arial" w:eastAsia="Arial" w:hAnsi="Arial"/>
          <w:b w:val="false"/>
          <w:bCs w:val="false"/>
          <w:color w:val="1C1C1C"/>
          <w:sz w:val="22"/>
          <w:szCs w:val="22"/>
        </w:rPr>
        <w:t xml:space="preserve">session_id (UUID)</w:t>
      </w:r>
    </w:p>
    <w:p>
      <w:pPr>
        <w:pStyle w:val="ListParagraph"/>
        <w:numPr>
          <w:ilvl w:val="0"/>
          <w:numId w:val="2"/>
        </w:numPr>
        <w:spacing w:before="40" w:after="40"/>
      </w:pPr>
      <w:r>
        <w:rPr>
          <w:rFonts w:ascii="Arial" w:cs="Arial" w:eastAsia="Arial" w:hAnsi="Arial"/>
          <w:b w:val="false"/>
          <w:bCs w:val="false"/>
          <w:color w:val="1C1C1C"/>
          <w:sz w:val="22"/>
          <w:szCs w:val="22"/>
        </w:rPr>
        <w:t xml:space="preserve">farmer_phone (indexed)</w:t>
      </w:r>
    </w:p>
    <w:p>
      <w:pPr>
        <w:pStyle w:val="ListParagraph"/>
        <w:numPr>
          <w:ilvl w:val="0"/>
          <w:numId w:val="2"/>
        </w:numPr>
        <w:spacing w:before="40" w:after="40"/>
      </w:pPr>
      <w:r>
        <w:rPr>
          <w:rFonts w:ascii="Arial" w:cs="Arial" w:eastAsia="Arial" w:hAnsi="Arial"/>
          <w:b w:val="false"/>
          <w:bCs w:val="false"/>
          <w:color w:val="1C1C1C"/>
          <w:sz w:val="22"/>
          <w:szCs w:val="22"/>
        </w:rPr>
        <w:t xml:space="preserve">session_type: action_confirmation / alert_response / crop_selection / media_request</w:t>
      </w:r>
    </w:p>
    <w:p>
      <w:pPr>
        <w:pStyle w:val="ListParagraph"/>
        <w:numPr>
          <w:ilvl w:val="0"/>
          <w:numId w:val="2"/>
        </w:numPr>
        <w:spacing w:before="40" w:after="40"/>
      </w:pPr>
      <w:r>
        <w:rPr>
          <w:rFonts w:ascii="Arial" w:cs="Arial" w:eastAsia="Arial" w:hAnsi="Arial"/>
          <w:b w:val="false"/>
          <w:bCs w:val="false"/>
          <w:color w:val="1C1C1C"/>
          <w:sz w:val="22"/>
          <w:szCs w:val="22"/>
        </w:rPr>
        <w:t xml:space="preserve">context_data: JSONB — stores the pending action, crop_instance_id, expected options</w:t>
      </w:r>
    </w:p>
    <w:p>
      <w:pPr>
        <w:pStyle w:val="ListParagraph"/>
        <w:numPr>
          <w:ilvl w:val="0"/>
          <w:numId w:val="2"/>
        </w:numPr>
        <w:spacing w:before="40" w:after="40"/>
      </w:pPr>
      <w:r>
        <w:rPr>
          <w:rFonts w:ascii="Arial" w:cs="Arial" w:eastAsia="Arial" w:hAnsi="Arial"/>
          <w:b w:val="false"/>
          <w:bCs w:val="false"/>
          <w:color w:val="1C1C1C"/>
          <w:sz w:val="22"/>
          <w:szCs w:val="22"/>
        </w:rPr>
        <w:t xml:space="preserve">initiated_at: timestamp</w:t>
      </w:r>
    </w:p>
    <w:p>
      <w:pPr>
        <w:pStyle w:val="ListParagraph"/>
        <w:numPr>
          <w:ilvl w:val="0"/>
          <w:numId w:val="2"/>
        </w:numPr>
        <w:spacing w:before="40" w:after="40"/>
      </w:pPr>
      <w:r>
        <w:rPr>
          <w:rFonts w:ascii="Arial" w:cs="Arial" w:eastAsia="Arial" w:hAnsi="Arial"/>
          <w:b w:val="false"/>
          <w:bCs w:val="false"/>
          <w:color w:val="1C1C1C"/>
          <w:sz w:val="22"/>
          <w:szCs w:val="22"/>
        </w:rPr>
        <w:t xml:space="preserve">expires_at: timestamp (sessions expire after a defined window, e.g. 30 minutes)</w:t>
      </w:r>
    </w:p>
    <w:p>
      <w:pPr>
        <w:pStyle w:val="ListParagraph"/>
        <w:numPr>
          <w:ilvl w:val="0"/>
          <w:numId w:val="2"/>
        </w:numPr>
        <w:spacing w:before="40" w:after="40"/>
      </w:pPr>
      <w:r>
        <w:rPr>
          <w:rFonts w:ascii="Arial" w:cs="Arial" w:eastAsia="Arial" w:hAnsi="Arial"/>
          <w:b w:val="false"/>
          <w:bCs w:val="false"/>
          <w:color w:val="1C1C1C"/>
          <w:sz w:val="22"/>
          <w:szCs w:val="22"/>
        </w:rPr>
        <w:t xml:space="preserve">status: Pending / Responded / Expired / Cancelled</w:t>
      </w:r>
    </w:p>
    <w:p>
      <w:pPr>
        <w:spacing w:before="0" w:after="100"/>
      </w:pPr>
    </w:p>
    <w:p>
      <w:pPr>
        <w:pStyle w:val="Heading3"/>
        <w:spacing w:before="200" w:after="60"/>
      </w:pPr>
      <w:r>
        <w:rPr>
          <w:rFonts w:ascii="Arial" w:cs="Arial" w:eastAsia="Arial" w:hAnsi="Arial"/>
          <w:b/>
          <w:bCs/>
          <w:color w:val="2E5C3E"/>
          <w:sz w:val="22"/>
          <w:szCs w:val="22"/>
        </w:rPr>
        <w:t xml:space="preserve">7.12.2 Session Lifecycle</w:t>
      </w:r>
    </w:p>
    <w:p>
      <w:pPr>
        <w:spacing w:before="60" w:after="80"/>
        <w:ind/>
      </w:pPr>
      <w:r>
        <w:rPr>
          <w:rFonts w:ascii="Arial" w:cs="Arial" w:eastAsia="Arial" w:hAnsi="Arial"/>
          <w:color w:val="1C1C1C"/>
          <w:sz w:val="22"/>
          <w:szCs w:val="22"/>
        </w:rPr>
        <w:t xml:space="preserve">When the system sends a structured WhatsApp menu to a farmer, it must create a session record before sending. The farmer's reply is matched against the active session by phone number. If no session exists for that phone, the reply is invalid and the system must respond with a 'session expired' message plus an instruction to return to the app.</w:t>
      </w:r>
    </w:p>
    <w:p>
      <w:pPr>
        <w:spacing w:before="60" w:after="80"/>
        <w:ind/>
      </w:pPr>
      <w:r>
        <w:rPr>
          <w:rFonts w:ascii="Arial" w:cs="Arial" w:eastAsia="Arial" w:hAnsi="Arial"/>
          <w:color w:val="1C1C1C"/>
          <w:sz w:val="22"/>
          <w:szCs w:val="22"/>
        </w:rPr>
        <w:t xml:space="preserve">Session expiry is critical: if a farmer leaves a menu unanswered and responds 30 minutes later, the contextual data (which crop, which action window) may be stale. The system must not silently accept stale replies as current actions. Expired sessions must be logged and the farmer notified to re-initiate.</w:t>
      </w:r>
    </w:p>
    <w:p>
      <w:pPr>
        <w:spacing w:before="0" w:after="100"/>
      </w:pPr>
    </w:p>
    <w:p>
      <w:pPr>
        <w:pStyle w:val="Heading3"/>
        <w:spacing w:before="200" w:after="60"/>
      </w:pPr>
      <w:r>
        <w:rPr>
          <w:rFonts w:ascii="Arial" w:cs="Arial" w:eastAsia="Arial" w:hAnsi="Arial"/>
          <w:b/>
          <w:bCs/>
          <w:color w:val="2E5C3E"/>
          <w:sz w:val="22"/>
          <w:szCs w:val="22"/>
        </w:rPr>
        <w:t xml:space="preserve">7.12.3 Multi-Crop Disambiguation</w:t>
      </w:r>
    </w:p>
    <w:p>
      <w:pPr>
        <w:spacing w:before="60" w:after="80"/>
        <w:ind/>
      </w:pPr>
      <w:r>
        <w:rPr>
          <w:rFonts w:ascii="Arial" w:cs="Arial" w:eastAsia="Arial" w:hAnsi="Arial"/>
          <w:color w:val="1C1C1C"/>
          <w:sz w:val="22"/>
          <w:szCs w:val="22"/>
        </w:rPr>
        <w:t xml:space="preserve">If a farmer manages more than one active crop, every WhatsApp interaction that is crop-specific must either be initiated by the system with crop_instance_id baked into the session context, or the farmer must first complete a crop selection step before any action is offered. The system must never assume which crop a generic reply refers to.</w:t>
      </w:r>
    </w:p>
    <w:p>
      <w:pPr>
        <w:spacing w:before="0" w:after="100"/>
      </w:pPr>
    </w:p>
    <w:p>
      <w:pPr>
        <w:pStyle w:val="Heading2"/>
        <w:spacing w:before="280" w:after="80"/>
      </w:pPr>
      <w:r>
        <w:rPr>
          <w:rFonts w:ascii="Arial" w:cs="Arial" w:eastAsia="Arial" w:hAnsi="Arial"/>
          <w:b/>
          <w:bCs/>
          <w:color w:val="1C1C1C"/>
          <w:sz w:val="26"/>
          <w:szCs w:val="26"/>
        </w:rPr>
        <w:t xml:space="preserve">Missing Module 4 — Farmer Data Ownership &amp; Portability (Add to Section 11)</w:t>
      </w:r>
    </w:p>
    <w:p>
      <w:pPr>
        <w:spacing w:before="60" w:after="80"/>
        <w:ind/>
      </w:pPr>
      <w:r>
        <w:rPr>
          <w:rFonts w:ascii="Arial" w:cs="Arial" w:eastAsia="Arial" w:hAnsi="Arial"/>
          <w:color w:val="1C1C1C"/>
          <w:sz w:val="22"/>
          <w:szCs w:val="22"/>
        </w:rPr>
        <w:t xml:space="preserve">Section 11 defines threats from attackers, admins, and providers. But it never addresses the farmer as a data subject with rights over their own data. For a system that captures a farmer's entire agricultural lifecycle — every irrigation decision, every yield, every deviation — data ownership is not a feature, it is a trust foundation.</w:t>
      </w:r>
    </w:p>
    <w:p>
      <w:pPr>
        <w:spacing w:before="0" w:after="100"/>
      </w:pPr>
    </w:p>
    <w:p>
      <w:pPr>
        <w:pStyle w:val="Heading3"/>
        <w:spacing w:before="200" w:after="60"/>
      </w:pPr>
      <w:r>
        <w:rPr>
          <w:rFonts w:ascii="Arial" w:cs="Arial" w:eastAsia="Arial" w:hAnsi="Arial"/>
          <w:b/>
          <w:bCs/>
          <w:color w:val="2E5C3E"/>
          <w:sz w:val="22"/>
          <w:szCs w:val="22"/>
        </w:rPr>
        <w:t xml:space="preserve">11.19 Farmer Data Rights Model</w:t>
      </w:r>
    </w:p>
    <w:p>
      <w:pPr>
        <w:spacing w:before="60" w:after="80"/>
        <w:ind/>
      </w:pPr>
      <w:r>
        <w:rPr>
          <w:rFonts w:ascii="Arial" w:cs="Arial" w:eastAsia="Arial" w:hAnsi="Arial"/>
          <w:color w:val="1C1C1C"/>
          <w:sz w:val="22"/>
          <w:szCs w:val="22"/>
        </w:rPr>
        <w:t xml:space="preserve">The following rights must be defined and technically implemented:</w:t>
      </w:r>
    </w:p>
    <w:p>
      <w:pPr>
        <w:spacing w:before="0" w:after="100"/>
      </w:pPr>
    </w:p>
    <w:p>
      <w:pPr>
        <w:spacing w:before="60" w:after="80"/>
        <w:ind/>
      </w:pPr>
      <w:r>
        <w:rPr>
          <w:rFonts w:ascii="Arial" w:cs="Arial" w:eastAsia="Arial" w:hAnsi="Arial"/>
          <w:b/>
          <w:bCs/>
          <w:color w:val="1A6B3C"/>
          <w:sz w:val="22"/>
          <w:szCs w:val="22"/>
        </w:rPr>
        <w:t xml:space="preserve">Right to Export: </w:t>
      </w:r>
      <w:r>
        <w:rPr>
          <w:rFonts w:ascii="Arial" w:cs="Arial" w:eastAsia="Arial" w:hAnsi="Arial"/>
          <w:color w:val="1C1C1C"/>
          <w:sz w:val="22"/>
          <w:szCs w:val="22"/>
        </w:rPr>
        <w:t xml:space="preserve">A farmer must be able to request a full export of their data including: all crop instance metadata, all action logs with effective dates, all yield records (reported only — not ml_yield_value), all recommendation history, all media analysis results (extracted features, not raw images). The export must be in a human-readable format (JSON or CSV). This must be an API endpoint: GET /api/v1/farmers/{id}/export.</w:t>
      </w:r>
    </w:p>
    <w:p>
      <w:pPr>
        <w:spacing w:before="0" w:after="100"/>
      </w:pPr>
    </w:p>
    <w:p>
      <w:pPr>
        <w:spacing w:before="60" w:after="80"/>
        <w:ind/>
      </w:pPr>
      <w:r>
        <w:rPr>
          <w:rFonts w:ascii="Arial" w:cs="Arial" w:eastAsia="Arial" w:hAnsi="Arial"/>
          <w:b/>
          <w:bCs/>
          <w:color w:val="1A6B3C"/>
          <w:sz w:val="22"/>
          <w:szCs w:val="22"/>
        </w:rPr>
        <w:t xml:space="preserve">Right to Deletion: </w:t>
      </w:r>
      <w:r>
        <w:rPr>
          <w:rFonts w:ascii="Arial" w:cs="Arial" w:eastAsia="Arial" w:hAnsi="Arial"/>
          <w:color w:val="1C1C1C"/>
          <w:sz w:val="22"/>
          <w:szCs w:val="22"/>
        </w:rPr>
        <w:t xml:space="preserve">When a farmer requests account deletion, the system must: soft-delete all crop instances and action logs, hard-delete all personal identifiers (name, phone), anonymize all ML training data associated with that farmer, delete behavioral adaptation profiles, and preserve anonymized regional contribution. A farmer's deletion must not corrupt regional clusters already computed from their data — those are prospective aggregates that cannot be retroactively removed.</w:t>
      </w:r>
    </w:p>
    <w:p>
      <w:pPr>
        <w:spacing w:before="0" w:after="100"/>
      </w:pPr>
    </w:p>
    <w:p>
      <w:pPr>
        <w:spacing w:before="60" w:after="80"/>
        <w:ind/>
      </w:pPr>
      <w:r>
        <w:rPr>
          <w:rFonts w:ascii="Arial" w:cs="Arial" w:eastAsia="Arial" w:hAnsi="Arial"/>
          <w:b/>
          <w:bCs/>
          <w:color w:val="1A6B3C"/>
          <w:sz w:val="22"/>
          <w:szCs w:val="22"/>
        </w:rPr>
        <w:t xml:space="preserve">Behavioral Profile Transparency: </w:t>
      </w:r>
      <w:r>
        <w:rPr>
          <w:rFonts w:ascii="Arial" w:cs="Arial" w:eastAsia="Arial" w:hAnsi="Arial"/>
          <w:color w:val="1C1C1C"/>
          <w:sz w:val="22"/>
          <w:szCs w:val="22"/>
        </w:rPr>
        <w:t xml:space="preserve">The behavioral adaptation model (Section 4.2, Layer 3) silently tracks farmer patterns. The farmer has a right to know this is happening. The UI must surface a 'Your Farming Patterns' view showing what behavioral offsets are applied to their recommendations. The farmer must be able to request a reset of their behavioral profile, which clears deviation_profiles and restarts adaptation from zero.</w:t>
      </w:r>
    </w:p>
    <w:p>
      <w:pPr>
        <w:spacing w:before="0" w:after="100"/>
      </w:pPr>
    </w:p>
    <w:p>
      <w:pPr>
        <w:pStyle w:val="Heading2"/>
        <w:spacing w:before="280" w:after="80"/>
      </w:pPr>
      <w:r>
        <w:rPr>
          <w:rFonts w:ascii="Arial" w:cs="Arial" w:eastAsia="Arial" w:hAnsi="Arial"/>
          <w:b/>
          <w:bCs/>
          <w:color w:val="1C1C1C"/>
          <w:sz w:val="26"/>
          <w:szCs w:val="26"/>
        </w:rPr>
        <w:t xml:space="preserve">Missing Module 5 — Seasonal Window Calendar Definition (Add to Section 1)</w:t>
      </w:r>
    </w:p>
    <w:p>
      <w:pPr>
        <w:spacing w:before="60" w:after="80"/>
        <w:ind/>
      </w:pPr>
      <w:r>
        <w:rPr>
          <w:rFonts w:ascii="Arial" w:cs="Arial" w:eastAsia="Arial" w:hAnsi="Arial"/>
          <w:color w:val="1C1C1C"/>
          <w:sz w:val="22"/>
          <w:szCs w:val="22"/>
        </w:rPr>
        <w:t xml:space="preserve">Section 1.9 defines seasonal_window_category as {Early, Optimal, Late} and states that each has separate risk multipliers and yield sensitivity. But nowhere in the 188-page document is it specified how the system determines which category applies to a given crop instance. This is a foundational gap — the category drives stress sensitivity, yield projection, and risk threshold, yet its assignment algorithm is never specified.</w:t>
      </w:r>
    </w:p>
    <w:p>
      <w:pPr>
        <w:spacing w:before="0" w:after="100"/>
      </w:pPr>
    </w:p>
    <w:p>
      <w:pPr>
        <w:pStyle w:val="Heading3"/>
        <w:spacing w:before="200" w:after="60"/>
      </w:pPr>
      <w:r>
        <w:rPr>
          <w:rFonts w:ascii="Arial" w:cs="Arial" w:eastAsia="Arial" w:hAnsi="Arial"/>
          <w:b/>
          <w:bCs/>
          <w:color w:val="2E5C3E"/>
          <w:sz w:val="22"/>
          <w:szCs w:val="22"/>
        </w:rPr>
        <w:t xml:space="preserve">1.9.2 Seasonal Window Assignment Model</w:t>
      </w:r>
    </w:p>
    <w:p>
      <w:pPr>
        <w:spacing w:before="60" w:after="80"/>
        <w:ind/>
      </w:pPr>
      <w:r>
        <w:rPr>
          <w:rFonts w:ascii="Arial" w:cs="Arial" w:eastAsia="Arial" w:hAnsi="Arial"/>
          <w:color w:val="1C1C1C"/>
          <w:sz w:val="22"/>
          <w:szCs w:val="22"/>
        </w:rPr>
        <w:t xml:space="preserve">seasonal_window_category must be assigned at crop creation time using the following logic:</w:t>
      </w:r>
    </w:p>
    <w:p>
      <w:pPr>
        <w:pStyle w:val="ListParagraph"/>
        <w:numPr>
          <w:ilvl w:val="0"/>
          <w:numId w:val="3"/>
        </w:numPr>
        <w:spacing w:before="40" w:after="40"/>
      </w:pPr>
      <w:r>
        <w:rPr>
          <w:rFonts w:ascii="Arial" w:cs="Arial" w:eastAsia="Arial" w:hAnsi="Arial"/>
          <w:b w:val="false"/>
          <w:bCs w:val="false"/>
          <w:color w:val="1C1C1C"/>
          <w:sz w:val="22"/>
          <w:szCs w:val="22"/>
        </w:rPr>
        <w:t xml:space="preserve">Each CropRuleTemplate must include a regional_calendar section per crop_type per region. This defines Optimal sowing window as a date range, e.g. Wheat in Haryana: November 1 – November 25. Early is defined as any sowing date before the optimal start. Late is any sowing date after the optimal end.</w:t>
      </w:r>
    </w:p>
    <w:p>
      <w:pPr>
        <w:pStyle w:val="ListParagraph"/>
        <w:numPr>
          <w:ilvl w:val="0"/>
          <w:numId w:val="3"/>
        </w:numPr>
        <w:spacing w:before="40" w:after="40"/>
      </w:pPr>
      <w:r>
        <w:rPr>
          <w:rFonts w:ascii="Arial" w:cs="Arial" w:eastAsia="Arial" w:hAnsi="Arial"/>
          <w:b w:val="false"/>
          <w:bCs w:val="false"/>
          <w:color w:val="1C1C1C"/>
          <w:sz w:val="22"/>
          <w:szCs w:val="22"/>
        </w:rPr>
        <w:t xml:space="preserve">At CropInstance creation, compare sowing_date against the regional_calendar for that crop_type and region.</w:t>
      </w:r>
    </w:p>
    <w:p>
      <w:pPr>
        <w:pStyle w:val="ListParagraph"/>
        <w:numPr>
          <w:ilvl w:val="0"/>
          <w:numId w:val="3"/>
        </w:numPr>
        <w:spacing w:before="40" w:after="40"/>
      </w:pPr>
      <w:r>
        <w:rPr>
          <w:rFonts w:ascii="Arial" w:cs="Arial" w:eastAsia="Arial" w:hAnsi="Arial"/>
          <w:b w:val="false"/>
          <w:bCs w:val="false"/>
          <w:color w:val="1C1C1C"/>
          <w:sz w:val="22"/>
          <w:szCs w:val="22"/>
        </w:rPr>
        <w:t xml:space="preserve">Assign seasonal_window_category accordingly and persist it. It must never change after assignment — even if the farmer modifies the sowing date, the original category is retained unless admin explicitly overrides it.</w:t>
      </w:r>
    </w:p>
    <w:p>
      <w:pPr>
        <w:spacing w:before="0" w:after="100"/>
      </w:pPr>
    </w:p>
    <w:p>
      <w:pPr>
        <w:pStyle w:val="Heading3"/>
        <w:spacing w:before="200" w:after="60"/>
      </w:pPr>
      <w:r>
        <w:rPr>
          <w:rFonts w:ascii="Arial" w:cs="Arial" w:eastAsia="Arial" w:hAnsi="Arial"/>
          <w:b/>
          <w:bCs/>
          <w:color w:val="2E5C3E"/>
          <w:sz w:val="22"/>
          <w:szCs w:val="22"/>
        </w:rPr>
        <w:t xml:space="preserve">1.9.3 Regional Calendar Data Source</w:t>
      </w:r>
    </w:p>
    <w:p>
      <w:pPr>
        <w:spacing w:before="60" w:after="80"/>
        <w:ind/>
      </w:pPr>
      <w:r>
        <w:rPr>
          <w:rFonts w:ascii="Arial" w:cs="Arial" w:eastAsia="Arial" w:hAnsi="Arial"/>
          <w:color w:val="1C1C1C"/>
          <w:sz w:val="22"/>
          <w:szCs w:val="22"/>
        </w:rPr>
        <w:t xml:space="preserve">Regional calendars must be stored in a dedicated regional_sowing_calendars table with fields: crop_type, region, optimal_start (DATE), optimal_end (DATE), version_id, effective_from_date. This table is admin-managed and must follow the same versioning philosophy as CropRuleTemplates. When calendar data is unavailable for a specific region/crop combination, the system must fall back to a national-level default and flag the instance as calendar_fallback = true.</w:t>
      </w:r>
    </w:p>
    <w:p>
      <w:pPr>
        <w:spacing w:before="0" w:after="100"/>
      </w:pPr>
    </w:p>
    <w:p>
      <w:pPr>
        <w:pStyle w:val="Heading2"/>
        <w:spacing w:before="280" w:after="80"/>
      </w:pPr>
      <w:r>
        <w:rPr>
          <w:rFonts w:ascii="Arial" w:cs="Arial" w:eastAsia="Arial" w:hAnsi="Arial"/>
          <w:b/>
          <w:bCs/>
          <w:color w:val="1C1C1C"/>
          <w:sz w:val="26"/>
          <w:szCs w:val="26"/>
        </w:rPr>
        <w:t xml:space="preserve">Missing Module 6 — CropRuleTemplate Governance &amp; Authoring (Add to Section 1)</w:t>
      </w:r>
    </w:p>
    <w:p>
      <w:pPr>
        <w:spacing w:before="60" w:after="80"/>
        <w:ind/>
      </w:pPr>
      <w:r>
        <w:rPr>
          <w:rFonts w:ascii="Arial" w:cs="Arial" w:eastAsia="Arial" w:hAnsi="Arial"/>
          <w:color w:val="1C1C1C"/>
          <w:sz w:val="22"/>
          <w:szCs w:val="22"/>
        </w:rPr>
        <w:t xml:space="preserve">The MSDD treats CropRuleTemplates as pre-existing artifacts that are versioned and applied. But it never defines who creates them, through what interface, with what review process, or how errors in them are detected and mitigated. This is a serious governance gap — a badly authored template could silently give wrong irrigation windows to every wheat farmer in Haryana.</w:t>
      </w:r>
    </w:p>
    <w:p>
      <w:pPr>
        <w:spacing w:before="0" w:after="100"/>
      </w:pPr>
    </w:p>
    <w:p>
      <w:pPr>
        <w:pStyle w:val="Heading3"/>
        <w:spacing w:before="200" w:after="60"/>
      </w:pPr>
      <w:r>
        <w:rPr>
          <w:rFonts w:ascii="Arial" w:cs="Arial" w:eastAsia="Arial" w:hAnsi="Arial"/>
          <w:b/>
          <w:bCs/>
          <w:color w:val="2E5C3E"/>
          <w:sz w:val="22"/>
          <w:szCs w:val="22"/>
        </w:rPr>
        <w:t xml:space="preserve">1.4.1 Template Authoring Workflow</w:t>
      </w:r>
    </w:p>
    <w:p>
      <w:pPr>
        <w:spacing w:before="60" w:after="80"/>
        <w:ind/>
      </w:pPr>
      <w:r>
        <w:rPr>
          <w:rFonts w:ascii="Arial" w:cs="Arial" w:eastAsia="Arial" w:hAnsi="Arial"/>
          <w:color w:val="1C1C1C"/>
          <w:sz w:val="22"/>
          <w:szCs w:val="22"/>
        </w:rPr>
        <w:t xml:space="preserve">CropRuleTemplates must only be creatable by Admin role. The authoring workflow must include:</w:t>
      </w:r>
    </w:p>
    <w:p>
      <w:pPr>
        <w:pStyle w:val="ListParagraph"/>
        <w:numPr>
          <w:ilvl w:val="0"/>
          <w:numId w:val="3"/>
        </w:numPr>
        <w:spacing w:before="40" w:after="40"/>
      </w:pPr>
      <w:r>
        <w:rPr>
          <w:rFonts w:ascii="Arial" w:cs="Arial" w:eastAsia="Arial" w:hAnsi="Arial"/>
          <w:b w:val="false"/>
          <w:bCs w:val="false"/>
          <w:color w:val="1C1C1C"/>
          <w:sz w:val="22"/>
          <w:szCs w:val="22"/>
        </w:rPr>
        <w:t xml:space="preserve">Draft stage: Admin creates template with draft status. Draft templates are never applied to active CropInstances.</w:t>
      </w:r>
    </w:p>
    <w:p>
      <w:pPr>
        <w:pStyle w:val="ListParagraph"/>
        <w:numPr>
          <w:ilvl w:val="0"/>
          <w:numId w:val="3"/>
        </w:numPr>
        <w:spacing w:before="40" w:after="40"/>
      </w:pPr>
      <w:r>
        <w:rPr>
          <w:rFonts w:ascii="Arial" w:cs="Arial" w:eastAsia="Arial" w:hAnsi="Arial"/>
          <w:b w:val="false"/>
          <w:bCs w:val="false"/>
          <w:color w:val="1C1C1C"/>
          <w:sz w:val="22"/>
          <w:szCs w:val="22"/>
        </w:rPr>
        <w:t xml:space="preserve">Simulation stage: Admin triggers a simulation using Rule Change Impact Preview (already mentioned in Section 1.4 but not specified). The simulation must show: projected stage timelines for 3 representative crop instances (Early, Optimal, Late seasonal windows), deviation from currently applied templates, and estimated yield impact for the next season.</w:t>
      </w:r>
    </w:p>
    <w:p>
      <w:pPr>
        <w:pStyle w:val="ListParagraph"/>
        <w:numPr>
          <w:ilvl w:val="0"/>
          <w:numId w:val="3"/>
        </w:numPr>
        <w:spacing w:before="40" w:after="40"/>
      </w:pPr>
      <w:r>
        <w:rPr>
          <w:rFonts w:ascii="Arial" w:cs="Arial" w:eastAsia="Arial" w:hAnsi="Arial"/>
          <w:b w:val="false"/>
          <w:bCs w:val="false"/>
          <w:color w:val="1C1C1C"/>
          <w:sz w:val="22"/>
          <w:szCs w:val="22"/>
        </w:rPr>
        <w:t xml:space="preserve">Approval stage: A second admin must approve the template before it moves to Active status. This dual-approval requirement must be enforced at the API layer. Single-admin environments (prototype) may skip this but must log a warning.</w:t>
      </w:r>
    </w:p>
    <w:p>
      <w:pPr>
        <w:pStyle w:val="ListParagraph"/>
        <w:numPr>
          <w:ilvl w:val="0"/>
          <w:numId w:val="3"/>
        </w:numPr>
        <w:spacing w:before="40" w:after="40"/>
      </w:pPr>
      <w:r>
        <w:rPr>
          <w:rFonts w:ascii="Arial" w:cs="Arial" w:eastAsia="Arial" w:hAnsi="Arial"/>
          <w:b w:val="false"/>
          <w:bCs w:val="false"/>
          <w:color w:val="1C1C1C"/>
          <w:sz w:val="22"/>
          <w:szCs w:val="22"/>
        </w:rPr>
        <w:t xml:space="preserve">Activation: Once approved, the template receives an effective_from_date. It applies only to CropInstances created after that date.</w:t>
      </w:r>
    </w:p>
    <w:p>
      <w:pPr>
        <w:spacing w:before="0" w:after="100"/>
      </w:pPr>
    </w:p>
    <w:p>
      <w:pPr>
        <w:pStyle w:val="Heading3"/>
        <w:spacing w:before="200" w:after="60"/>
      </w:pPr>
      <w:r>
        <w:rPr>
          <w:rFonts w:ascii="Arial" w:cs="Arial" w:eastAsia="Arial" w:hAnsi="Arial"/>
          <w:b/>
          <w:bCs/>
          <w:color w:val="2E5C3E"/>
          <w:sz w:val="22"/>
          <w:szCs w:val="22"/>
        </w:rPr>
        <w:t xml:space="preserve">1.4.2 Template Validation Rules</w:t>
      </w:r>
    </w:p>
    <w:p>
      <w:pPr>
        <w:spacing w:before="60" w:after="80"/>
        <w:ind/>
      </w:pPr>
      <w:r>
        <w:rPr>
          <w:rFonts w:ascii="Arial" w:cs="Arial" w:eastAsia="Arial" w:hAnsi="Arial"/>
          <w:color w:val="1C1C1C"/>
          <w:sz w:val="22"/>
          <w:szCs w:val="22"/>
        </w:rPr>
        <w:t xml:space="preserve">Before any CropRuleTemplate is saved as Active, the system must enforce:</w:t>
      </w:r>
    </w:p>
    <w:p>
      <w:pPr>
        <w:pStyle w:val="ListParagraph"/>
        <w:numPr>
          <w:ilvl w:val="0"/>
          <w:numId w:val="2"/>
        </w:numPr>
        <w:spacing w:before="40" w:after="40"/>
      </w:pPr>
      <w:r>
        <w:rPr>
          <w:rFonts w:ascii="Arial" w:cs="Arial" w:eastAsia="Arial" w:hAnsi="Arial"/>
          <w:b w:val="false"/>
          <w:bCs w:val="false"/>
          <w:color w:val="1C1C1C"/>
          <w:sz w:val="22"/>
          <w:szCs w:val="22"/>
        </w:rPr>
        <w:t xml:space="preserve">All stage_definitions must be in chronological order with no gaps.</w:t>
      </w:r>
    </w:p>
    <w:p>
      <w:pPr>
        <w:pStyle w:val="ListParagraph"/>
        <w:numPr>
          <w:ilvl w:val="0"/>
          <w:numId w:val="2"/>
        </w:numPr>
        <w:spacing w:before="40" w:after="40"/>
      </w:pPr>
      <w:r>
        <w:rPr>
          <w:rFonts w:ascii="Arial" w:cs="Arial" w:eastAsia="Arial" w:hAnsi="Arial"/>
          <w:b w:val="false"/>
          <w:bCs w:val="false"/>
          <w:color w:val="1C1C1C"/>
          <w:sz w:val="22"/>
          <w:szCs w:val="22"/>
        </w:rPr>
        <w:t xml:space="preserve">irrigation_windows, fertilizer_windows, and harvest_windows must fall within valid stage date ranges.</w:t>
      </w:r>
    </w:p>
    <w:p>
      <w:pPr>
        <w:pStyle w:val="ListParagraph"/>
        <w:numPr>
          <w:ilvl w:val="0"/>
          <w:numId w:val="2"/>
        </w:numPr>
        <w:spacing w:before="40" w:after="40"/>
      </w:pPr>
      <w:r>
        <w:rPr>
          <w:rFonts w:ascii="Arial" w:cs="Arial" w:eastAsia="Arial" w:hAnsi="Arial"/>
          <w:b w:val="false"/>
          <w:bCs w:val="false"/>
          <w:color w:val="1C1C1C"/>
          <w:sz w:val="22"/>
          <w:szCs w:val="22"/>
        </w:rPr>
        <w:t xml:space="preserve">Total stage duration must match the known agronomic lifecycle for that crop type (validated against a reference range stored in a crop_reference_data table).</w:t>
      </w:r>
    </w:p>
    <w:p>
      <w:pPr>
        <w:pStyle w:val="ListParagraph"/>
        <w:numPr>
          <w:ilvl w:val="0"/>
          <w:numId w:val="2"/>
        </w:numPr>
        <w:spacing w:before="40" w:after="40"/>
      </w:pPr>
      <w:r>
        <w:rPr>
          <w:rFonts w:ascii="Arial" w:cs="Arial" w:eastAsia="Arial" w:hAnsi="Arial"/>
          <w:b w:val="false"/>
          <w:bCs w:val="false"/>
          <w:color w:val="1C1C1C"/>
          <w:sz w:val="22"/>
          <w:szCs w:val="22"/>
        </w:rPr>
        <w:t xml:space="preserve">risk_parameters must be numeric and within [0, 1] bounds.</w:t>
      </w:r>
    </w:p>
    <w:p>
      <w:pPr>
        <w:spacing w:before="60" w:after="80"/>
        <w:ind/>
      </w:pPr>
      <w:r>
        <w:rPr>
          <w:rFonts w:ascii="Arial" w:cs="Arial" w:eastAsia="Arial" w:hAnsi="Arial"/>
          <w:color w:val="1C1C1C"/>
          <w:sz w:val="22"/>
          <w:szCs w:val="22"/>
        </w:rPr>
        <w:t xml:space="preserve">Validation failures must return a structured list of errors, not a generic rejection.</w:t>
      </w:r>
    </w:p>
    <w:p>
      <w:pPr>
        <w:spacing w:before="0" w:after="100"/>
      </w:pPr>
    </w:p>
    <w:p>
      <w:pPr>
        <w:pStyle w:val="Heading2"/>
        <w:spacing w:before="280" w:after="80"/>
      </w:pPr>
      <w:r>
        <w:rPr>
          <w:rFonts w:ascii="Arial" w:cs="Arial" w:eastAsia="Arial" w:hAnsi="Arial"/>
          <w:b/>
          <w:bCs/>
          <w:color w:val="1C1C1C"/>
          <w:sz w:val="26"/>
          <w:szCs w:val="26"/>
        </w:rPr>
        <w:t xml:space="preserve">Missing Module 7 — Market Intelligence Data Layer (Expand Section 4.7)</w:t>
      </w:r>
    </w:p>
    <w:p>
      <w:pPr>
        <w:spacing w:before="60" w:after="80"/>
        <w:ind/>
      </w:pPr>
      <w:r>
        <w:rPr>
          <w:rFonts w:ascii="Arial" w:cs="Arial" w:eastAsia="Arial" w:hAnsi="Arial"/>
          <w:color w:val="1C1C1C"/>
          <w:sz w:val="22"/>
          <w:szCs w:val="22"/>
        </w:rPr>
        <w:t xml:space="preserve">Section 4.7 specifies ARIMA for short-term market forecasting and seasonal bands for long-term forecasting. But it never defines the data layer that feeds these models. The market intelligence model cannot be built, tested, or defended without a specification of its data sources, refresh cadence, and failure behavior.</w:t>
      </w:r>
    </w:p>
    <w:p>
      <w:pPr>
        <w:spacing w:before="0" w:after="100"/>
      </w:pPr>
    </w:p>
    <w:p>
      <w:pPr>
        <w:pStyle w:val="Heading3"/>
        <w:spacing w:before="200" w:after="60"/>
      </w:pPr>
      <w:r>
        <w:rPr>
          <w:rFonts w:ascii="Arial" w:cs="Arial" w:eastAsia="Arial" w:hAnsi="Arial"/>
          <w:b/>
          <w:bCs/>
          <w:color w:val="2E5C3E"/>
          <w:sz w:val="22"/>
          <w:szCs w:val="22"/>
        </w:rPr>
        <w:t xml:space="preserve">4.7.2 Market Data Source Specification</w:t>
      </w:r>
    </w:p>
    <w:p>
      <w:pPr>
        <w:spacing w:before="60" w:after="80"/>
        <w:ind/>
      </w:pPr>
      <w:r>
        <w:rPr>
          <w:rFonts w:ascii="Arial" w:cs="Arial" w:eastAsia="Arial" w:hAnsi="Arial"/>
          <w:color w:val="1C1C1C"/>
          <w:sz w:val="22"/>
          <w:szCs w:val="22"/>
        </w:rPr>
        <w:t xml:space="preserve">The market model must integrate with a configurable primary market data provider (e.g., Agmarknet for India, or a commodity exchange feed). The integration must define:</w:t>
      </w:r>
    </w:p>
    <w:p>
      <w:pPr>
        <w:pStyle w:val="ListParagraph"/>
        <w:numPr>
          <w:ilvl w:val="0"/>
          <w:numId w:val="2"/>
        </w:numPr>
        <w:spacing w:before="40" w:after="40"/>
      </w:pPr>
      <w:r>
        <w:rPr>
          <w:rFonts w:ascii="Arial" w:cs="Arial" w:eastAsia="Arial" w:hAnsi="Arial"/>
          <w:b w:val="false"/>
          <w:bCs w:val="false"/>
          <w:color w:val="1C1C1C"/>
          <w:sz w:val="22"/>
          <w:szCs w:val="22"/>
        </w:rPr>
        <w:t xml:space="preserve">Commodity code mapping: A market_commodity_map table must link crop_type to the external provider's commodity code (e.g. 'wheat' → 'WHEAT_HARYANA_MSP'). This table is admin-managed.</w:t>
      </w:r>
    </w:p>
    <w:p>
      <w:pPr>
        <w:pStyle w:val="ListParagraph"/>
        <w:numPr>
          <w:ilvl w:val="0"/>
          <w:numId w:val="2"/>
        </w:numPr>
        <w:spacing w:before="40" w:after="40"/>
      </w:pPr>
      <w:r>
        <w:rPr>
          <w:rFonts w:ascii="Arial" w:cs="Arial" w:eastAsia="Arial" w:hAnsi="Arial"/>
          <w:b w:val="false"/>
          <w:bCs w:val="false"/>
          <w:color w:val="1C1C1C"/>
          <w:sz w:val="22"/>
          <w:szCs w:val="22"/>
        </w:rPr>
        <w:t xml:space="preserve">Refresh cadence: Market price data must be fetched daily via scheduled job (Cloud Scheduler). Intraday updates are unnecessary and computationally wasteful for this system scale.</w:t>
      </w:r>
    </w:p>
    <w:p>
      <w:pPr>
        <w:pStyle w:val="ListParagraph"/>
        <w:numPr>
          <w:ilvl w:val="0"/>
          <w:numId w:val="2"/>
        </w:numPr>
        <w:spacing w:before="40" w:after="40"/>
      </w:pPr>
      <w:r>
        <w:rPr>
          <w:rFonts w:ascii="Arial" w:cs="Arial" w:eastAsia="Arial" w:hAnsi="Arial"/>
          <w:b w:val="false"/>
          <w:bCs w:val="false"/>
          <w:color w:val="1C1C1C"/>
          <w:sz w:val="22"/>
          <w:szCs w:val="22"/>
        </w:rPr>
        <w:t xml:space="preserve">Data format: Incoming data must be normalized to a standard structure: { crop_type, region, price_per_unit, unit, date, source_provider } and stored in a market_prices table.</w:t>
      </w:r>
    </w:p>
    <w:p>
      <w:pPr>
        <w:pStyle w:val="ListParagraph"/>
        <w:numPr>
          <w:ilvl w:val="0"/>
          <w:numId w:val="2"/>
        </w:numPr>
        <w:spacing w:before="40" w:after="40"/>
      </w:pPr>
      <w:r>
        <w:rPr>
          <w:rFonts w:ascii="Arial" w:cs="Arial" w:eastAsia="Arial" w:hAnsi="Arial"/>
          <w:b w:val="false"/>
          <w:bCs w:val="false"/>
          <w:color w:val="1C1C1C"/>
          <w:sz w:val="22"/>
          <w:szCs w:val="22"/>
        </w:rPr>
        <w:t xml:space="preserve">Retention: Historical price data must be retained permanently to feed ARIMA training. Only the last 2 years are actively used in model training.</w:t>
      </w:r>
    </w:p>
    <w:p>
      <w:pPr>
        <w:spacing w:before="0" w:after="100"/>
      </w:pPr>
    </w:p>
    <w:p>
      <w:pPr>
        <w:pStyle w:val="Heading3"/>
        <w:spacing w:before="200" w:after="60"/>
      </w:pPr>
      <w:r>
        <w:rPr>
          <w:rFonts w:ascii="Arial" w:cs="Arial" w:eastAsia="Arial" w:hAnsi="Arial"/>
          <w:b/>
          <w:bCs/>
          <w:color w:val="2E5C3E"/>
          <w:sz w:val="22"/>
          <w:szCs w:val="22"/>
        </w:rPr>
        <w:t xml:space="preserve">4.7.3 Market API Failure Handling</w:t>
      </w:r>
    </w:p>
    <w:p>
      <w:pPr>
        <w:spacing w:before="60" w:after="80"/>
        <w:ind/>
      </w:pPr>
      <w:r>
        <w:rPr>
          <w:rFonts w:ascii="Arial" w:cs="Arial" w:eastAsia="Arial" w:hAnsi="Arial"/>
          <w:color w:val="1C1C1C"/>
          <w:sz w:val="22"/>
          <w:szCs w:val="22"/>
        </w:rPr>
        <w:t xml:space="preserve">Section 4.8 explicitly defines weather API failure fallback. Market data has no equivalent. The following must be defined: If the market API fails, use the most recent market_prices entry for that crop_type and region. Mark the forecast as market_data_stale = true. Display to farmer: 'Market prices may not be current.' Never use stale data older than 30 days without admin notification. If no market data exists for a crop_type, disable market intelligence for that crop and display: 'Market data not available for this crop.'</w:t>
      </w:r>
    </w:p>
    <w:p>
      <w:pPr>
        <w:spacing w:before="0" w:after="100"/>
      </w:pPr>
    </w:p>
    <w:p>
      <w:pPr>
        <w:pStyle w:val="Heading2"/>
        <w:spacing w:before="280" w:after="80"/>
      </w:pPr>
      <w:r>
        <w:rPr>
          <w:rFonts w:ascii="Arial" w:cs="Arial" w:eastAsia="Arial" w:hAnsi="Arial"/>
          <w:b/>
          <w:bCs/>
          <w:color w:val="1C1C1C"/>
          <w:sz w:val="26"/>
          <w:szCs w:val="26"/>
        </w:rPr>
        <w:t xml:space="preserve">Missing Module 8 — Edge AI Model Distribution &amp; Update Mechanism (Add to Section 6)</w:t>
      </w:r>
    </w:p>
    <w:p>
      <w:pPr>
        <w:spacing w:before="60" w:after="80"/>
        <w:ind/>
      </w:pPr>
      <w:r>
        <w:rPr>
          <w:rFonts w:ascii="Arial" w:cs="Arial" w:eastAsia="Arial" w:hAnsi="Arial"/>
          <w:color w:val="1C1C1C"/>
          <w:sz w:val="22"/>
          <w:szCs w:val="22"/>
        </w:rPr>
        <w:t xml:space="preserve">Section 6.4 specifies that Edge AI uses a lightweight CNN (MobileNet-based) running on-device as TensorFlow Lite. But nothing specifies how the model arrives on the device, how it is updated when a new version is trained, how version compatibility is enforced, or what happens when the on-device model is outdated relative to backend expectations.</w:t>
      </w:r>
    </w:p>
    <w:p>
      <w:pPr>
        <w:spacing w:before="0" w:after="100"/>
      </w:pPr>
    </w:p>
    <w:p>
      <w:pPr>
        <w:pStyle w:val="Heading3"/>
        <w:spacing w:before="200" w:after="60"/>
      </w:pPr>
      <w:r>
        <w:rPr>
          <w:rFonts w:ascii="Arial" w:cs="Arial" w:eastAsia="Arial" w:hAnsi="Arial"/>
          <w:b/>
          <w:bCs/>
          <w:color w:val="2E5C3E"/>
          <w:sz w:val="22"/>
          <w:szCs w:val="22"/>
        </w:rPr>
        <w:t xml:space="preserve">6.4.4 Edge AI Model Distribution Architecture</w:t>
      </w:r>
    </w:p>
    <w:p>
      <w:pPr>
        <w:spacing w:before="60" w:after="80"/>
        <w:ind/>
      </w:pPr>
      <w:r>
        <w:rPr>
          <w:rFonts w:ascii="Arial" w:cs="Arial" w:eastAsia="Arial" w:hAnsi="Arial"/>
          <w:color w:val="1C1C1C"/>
          <w:sz w:val="22"/>
          <w:szCs w:val="22"/>
        </w:rPr>
        <w:t xml:space="preserve">The PWA must implement a model update mechanism using the following design:</w:t>
      </w:r>
    </w:p>
    <w:p>
      <w:pPr>
        <w:pStyle w:val="ListParagraph"/>
        <w:numPr>
          <w:ilvl w:val="0"/>
          <w:numId w:val="3"/>
        </w:numPr>
        <w:spacing w:before="40" w:after="40"/>
      </w:pPr>
      <w:r>
        <w:rPr>
          <w:rFonts w:ascii="Arial" w:cs="Arial" w:eastAsia="Arial" w:hAnsi="Arial"/>
          <w:b w:val="false"/>
          <w:bCs w:val="false"/>
          <w:color w:val="1C1C1C"/>
          <w:sz w:val="22"/>
          <w:szCs w:val="22"/>
        </w:rPr>
        <w:t xml:space="preserve">The model binary (.tflite file) must be hosted in Cloud Storage with a versioned path, e.g. gs://cultivax-models/edge/v{N}/stress_classifier.tflite.</w:t>
      </w:r>
    </w:p>
    <w:p>
      <w:pPr>
        <w:pStyle w:val="ListParagraph"/>
        <w:numPr>
          <w:ilvl w:val="0"/>
          <w:numId w:val="3"/>
        </w:numPr>
        <w:spacing w:before="40" w:after="40"/>
      </w:pPr>
      <w:r>
        <w:rPr>
          <w:rFonts w:ascii="Arial" w:cs="Arial" w:eastAsia="Arial" w:hAnsi="Arial"/>
          <w:b w:val="false"/>
          <w:bCs w:val="false"/>
          <w:color w:val="1C1C1C"/>
          <w:sz w:val="22"/>
          <w:szCs w:val="22"/>
        </w:rPr>
        <w:t xml:space="preserve">The backend must expose a public endpoint: GET /api/v1/edge-model/manifest — which returns { current_version, download_url, checksum, min_compatible_backend_version, file_size_bytes }.</w:t>
      </w:r>
    </w:p>
    <w:p>
      <w:pPr>
        <w:pStyle w:val="ListParagraph"/>
        <w:numPr>
          <w:ilvl w:val="0"/>
          <w:numId w:val="3"/>
        </w:numPr>
        <w:spacing w:before="40" w:after="40"/>
      </w:pPr>
      <w:r>
        <w:rPr>
          <w:rFonts w:ascii="Arial" w:cs="Arial" w:eastAsia="Arial" w:hAnsi="Arial"/>
          <w:b w:val="false"/>
          <w:bCs w:val="false"/>
          <w:color w:val="1C1C1C"/>
          <w:sz w:val="22"/>
          <w:szCs w:val="22"/>
        </w:rPr>
        <w:t xml:space="preserve">The PWA must check this manifest on startup and after reconnecting from offline. If the cached model version does not match current_version, the PWA must download and cache the new model in the background. The old model continues to serve until the new one is fully downloaded and checksum-verified.</w:t>
      </w:r>
    </w:p>
    <w:p>
      <w:pPr>
        <w:pStyle w:val="ListParagraph"/>
        <w:numPr>
          <w:ilvl w:val="0"/>
          <w:numId w:val="3"/>
        </w:numPr>
        <w:spacing w:before="40" w:after="40"/>
      </w:pPr>
      <w:r>
        <w:rPr>
          <w:rFonts w:ascii="Arial" w:cs="Arial" w:eastAsia="Arial" w:hAnsi="Arial"/>
          <w:b w:val="false"/>
          <w:bCs w:val="false"/>
          <w:color w:val="1C1C1C"/>
          <w:sz w:val="22"/>
          <w:szCs w:val="22"/>
        </w:rPr>
        <w:t xml:space="preserve">A max_model_age_days threshold must be defined. If the device has been offline longer than this threshold and reconnects, backend inference must be preferred over the potentially stale edge model until the new model is cached.</w:t>
      </w:r>
    </w:p>
    <w:p>
      <w:pPr>
        <w:spacing w:before="0" w:after="100"/>
      </w:pPr>
    </w:p>
    <w:p>
      <w:pPr>
        <w:pStyle w:val="Heading3"/>
        <w:spacing w:before="200" w:after="60"/>
      </w:pPr>
      <w:r>
        <w:rPr>
          <w:rFonts w:ascii="Arial" w:cs="Arial" w:eastAsia="Arial" w:hAnsi="Arial"/>
          <w:b/>
          <w:bCs/>
          <w:color w:val="2E5C3E"/>
          <w:sz w:val="22"/>
          <w:szCs w:val="22"/>
        </w:rPr>
        <w:t xml:space="preserve">6.4.5 Edge-Backend Version Compatibility Contract</w:t>
      </w:r>
    </w:p>
    <w:p>
      <w:pPr>
        <w:spacing w:before="60" w:after="80"/>
        <w:ind/>
      </w:pPr>
      <w:r>
        <w:rPr>
          <w:rFonts w:ascii="Arial" w:cs="Arial" w:eastAsia="Arial" w:hAnsi="Arial"/>
          <w:color w:val="1C1C1C"/>
          <w:sz w:val="22"/>
          <w:szCs w:val="22"/>
        </w:rPr>
        <w:t xml:space="preserve">Each edge model version must declare min_compatible_backend_version. The backend must declare the minimum edge model version it accepts results from (min_acceptable_edge_version). If an edge inference result arrives with an edge_model_version below the backend's minimum threshold, the result must be discarded and backend re-inference triggered. This prevents semantic mismatch between what the edge model classifies as 'high stress' versus what the backend expects.</w:t>
      </w:r>
    </w:p>
    <w:p>
      <w:pPr>
        <w:spacing w:before="0" w:after="100"/>
      </w:pPr>
    </w:p>
    <w:p>
      <w:r>
        <w:br w:type="page"/>
      </w:r>
    </w:p>
    <w:p>
      <w:pPr>
        <w:pStyle w:val="Heading1"/>
        <w:pBdr>
          <w:bottom w:val="single" w:color="1A6B3C" w:sz="4" w:space="4"/>
        </w:pBdr>
        <w:spacing w:before="360" w:after="120"/>
      </w:pPr>
      <w:r>
        <w:rPr>
          <w:rFonts w:ascii="Arial" w:cs="Arial" w:eastAsia="Arial" w:hAnsi="Arial"/>
          <w:b/>
          <w:bCs/>
          <w:color w:val="1A6B3C"/>
          <w:sz w:val="32"/>
          <w:szCs w:val="32"/>
        </w:rPr>
        <w:t xml:space="preserve">PART II: Intra-Section Content Enhancements</w:t>
      </w:r>
    </w:p>
    <w:p>
      <w:pPr>
        <w:spacing w:before="60" w:after="80"/>
        <w:ind/>
      </w:pPr>
      <w:r>
        <w:rPr>
          <w:rFonts w:ascii="Arial" w:cs="Arial" w:eastAsia="Arial" w:hAnsi="Arial"/>
          <w:color w:val="1C1C1C"/>
          <w:sz w:val="22"/>
          <w:szCs w:val="22"/>
        </w:rPr>
        <w:t xml:space="preserve">The following enhancements address gaps within sections that already exist in the MSDD. Each one identifies a specific sub-specification that is absent or logically incomplete.</w:t>
      </w:r>
    </w:p>
    <w:p>
      <w:pPr>
        <w:spacing w:before="0" w:after="100"/>
      </w:pPr>
    </w:p>
    <w:p>
      <w:pPr>
        <w:pStyle w:val="Heading2"/>
        <w:spacing w:before="280" w:after="80"/>
      </w:pPr>
      <w:r>
        <w:rPr>
          <w:rFonts w:ascii="Arial" w:cs="Arial" w:eastAsia="Arial" w:hAnsi="Arial"/>
          <w:b/>
          <w:bCs/>
          <w:color w:val="1C1C1C"/>
          <w:sz w:val="26"/>
          <w:szCs w:val="26"/>
        </w:rPr>
        <w:t xml:space="preserve">Section 1 (CTIS)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Stage-Aware Alpha in Stress Smoothing</w:t>
      </w:r>
    </w:p>
    <w:p>
      <w:pPr>
        <w:spacing w:before="60" w:after="80"/>
        <w:ind/>
      </w:pPr>
      <w:r>
        <w:rPr>
          <w:rFonts w:ascii="Arial" w:cs="Arial" w:eastAsia="Arial" w:hAnsi="Arial"/>
          <w:color w:val="1C1C1C"/>
          <w:sz w:val="22"/>
          <w:szCs w:val="22"/>
        </w:rPr>
        <w:t xml:space="preserve">Section 1.10 defines the stress smoothing formula as new_stress = α × current_signal + (1−α) × previous_stress, with α as a configurable constant (example: 0.4). This is correct but insufficiently specified.</w:t>
      </w:r>
    </w:p>
    <w:p>
      <w:pPr>
        <w:spacing w:before="60" w:after="80"/>
        <w:ind/>
      </w:pPr>
      <w:r>
        <w:rPr>
          <w:rFonts w:ascii="Arial" w:cs="Arial" w:eastAsia="Arial" w:hAnsi="Arial"/>
          <w:color w:val="1C1C1C"/>
          <w:sz w:val="22"/>
          <w:szCs w:val="22"/>
        </w:rPr>
        <w:t xml:space="preserve">A fixed alpha is inappropriate across all growth stages. In early-stage crops (germination, seedling), the plant has low biomass and is genuinely fragile — stress signals should be weighted more heavily (higher alpha, more reactive). In late-stage crops (grain fill, ripening), the plant has committed to its trajectory and stress signals are less actionable — a lower alpha (more stable, less reactive) better reflects agronomic reality.</w:t>
      </w:r>
    </w:p>
    <w:p>
      <w:pPr>
        <w:spacing w:before="60" w:after="80"/>
        <w:ind/>
      </w:pPr>
      <w:r>
        <w:rPr>
          <w:rFonts w:ascii="Arial" w:cs="Arial" w:eastAsia="Arial" w:hAnsi="Arial"/>
          <w:color w:val="1C1C1C"/>
          <w:sz w:val="22"/>
          <w:szCs w:val="22"/>
        </w:rPr>
        <w:t xml:space="preserve">The specification must define a stage_alpha_profile per CropRuleTemplate: a mapping from growth_stage to alpha value, allowing different stress sensitivity at different life stages. The formula remains identical; only the alpha parameter becomes stage-dependent.</w:t>
      </w:r>
    </w:p>
    <w:p>
      <w:pPr>
        <w:spacing w:before="0" w:after="100"/>
      </w:pPr>
    </w:p>
    <w:p>
      <w:pPr>
        <w:pStyle w:val="Heading3"/>
        <w:spacing w:before="200" w:after="60"/>
      </w:pPr>
      <w:r>
        <w:rPr>
          <w:rFonts w:ascii="Arial" w:cs="Arial" w:eastAsia="Arial" w:hAnsi="Arial"/>
          <w:b/>
          <w:bCs/>
          <w:color w:val="2E5C3E"/>
          <w:sz w:val="22"/>
          <w:szCs w:val="22"/>
        </w:rPr>
        <w:t xml:space="preserve">Enhancement: What-If Engine — Output Contract &amp; Comparison</w:t>
      </w:r>
    </w:p>
    <w:p>
      <w:pPr>
        <w:spacing w:before="60" w:after="80"/>
        <w:ind/>
      </w:pPr>
      <w:r>
        <w:rPr>
          <w:rFonts w:ascii="Arial" w:cs="Arial" w:eastAsia="Arial" w:hAnsi="Arial"/>
          <w:color w:val="1C1C1C"/>
          <w:sz w:val="22"/>
          <w:szCs w:val="22"/>
        </w:rPr>
        <w:t xml:space="preserve">Section 1.14 defines What-If Engine mechanics (deep copy, isolation, no mutation). But it defines no output contract. What exactly does the farmer see after running a simulation? The specification must define:</w:t>
      </w:r>
    </w:p>
    <w:p>
      <w:pPr>
        <w:pStyle w:val="ListParagraph"/>
        <w:numPr>
          <w:ilvl w:val="0"/>
          <w:numId w:val="2"/>
        </w:numPr>
        <w:spacing w:before="40" w:after="40"/>
      </w:pPr>
      <w:r>
        <w:rPr>
          <w:rFonts w:ascii="Arial" w:cs="Arial" w:eastAsia="Arial" w:hAnsi="Arial"/>
          <w:b w:val="false"/>
          <w:bCs w:val="false"/>
          <w:color w:val="1C1C1C"/>
          <w:sz w:val="22"/>
          <w:szCs w:val="22"/>
        </w:rPr>
        <w:t xml:space="preserve">What-If output must include: projected_stage_after_N_days, new_risk_index, new_stress_score, projected_harvest_window_shift (in days, positive or negative), estimated_yield_impact_percentage (range, not precise value), and a plain-language assessment key for the UI.</w:t>
      </w:r>
    </w:p>
    <w:p>
      <w:pPr>
        <w:pStyle w:val="ListParagraph"/>
        <w:numPr>
          <w:ilvl w:val="0"/>
          <w:numId w:val="2"/>
        </w:numPr>
        <w:spacing w:before="40" w:after="40"/>
      </w:pPr>
      <w:r>
        <w:rPr>
          <w:rFonts w:ascii="Arial" w:cs="Arial" w:eastAsia="Arial" w:hAnsi="Arial"/>
          <w:b w:val="false"/>
          <w:bCs w:val="false"/>
          <w:color w:val="1C1C1C"/>
          <w:sz w:val="22"/>
          <w:szCs w:val="22"/>
        </w:rPr>
        <w:t xml:space="preserve">Farmers must be able to run up to 3 What-If scenarios per crop instance per day (to prevent replay engine abuse through excessive simulation).</w:t>
      </w:r>
    </w:p>
    <w:p>
      <w:pPr>
        <w:pStyle w:val="ListParagraph"/>
        <w:numPr>
          <w:ilvl w:val="0"/>
          <w:numId w:val="2"/>
        </w:numPr>
        <w:spacing w:before="40" w:after="40"/>
      </w:pPr>
      <w:r>
        <w:rPr>
          <w:rFonts w:ascii="Arial" w:cs="Arial" w:eastAsia="Arial" w:hAnsi="Arial"/>
          <w:b w:val="false"/>
          <w:bCs w:val="false"/>
          <w:color w:val="1C1C1C"/>
          <w:sz w:val="22"/>
          <w:szCs w:val="22"/>
        </w:rPr>
        <w:t xml:space="preserve">Scenario comparison: if a farmer runs 2 What-If scenarios, the UI must support side-by-side comparison of the two outputs. The comparison data must be ephemeral — stored only in frontend state, never persisted to the database.</w:t>
      </w:r>
    </w:p>
    <w:p>
      <w:pPr>
        <w:spacing w:before="0" w:after="100"/>
      </w:pPr>
    </w:p>
    <w:p>
      <w:pPr>
        <w:pStyle w:val="Heading3"/>
        <w:spacing w:before="200" w:after="60"/>
      </w:pPr>
      <w:r>
        <w:rPr>
          <w:rFonts w:ascii="Arial" w:cs="Arial" w:eastAsia="Arial" w:hAnsi="Arial"/>
          <w:b/>
          <w:bCs/>
          <w:color w:val="2E5C3E"/>
          <w:sz w:val="22"/>
          <w:szCs w:val="22"/>
        </w:rPr>
        <w:t xml:space="preserve">Enhancement: Sowing Date Modification — Replay Scope</w:t>
      </w:r>
    </w:p>
    <w:p>
      <w:pPr>
        <w:spacing w:before="60" w:after="80"/>
        <w:ind/>
      </w:pPr>
      <w:r>
        <w:rPr>
          <w:rFonts w:ascii="Arial" w:cs="Arial" w:eastAsia="Arial" w:hAnsi="Arial"/>
          <w:color w:val="1C1C1C"/>
          <w:sz w:val="22"/>
          <w:szCs w:val="22"/>
        </w:rPr>
        <w:t xml:space="preserve">Section 1.17 states that sowing date modification must trigger full replay. But full replay means replaying from sowing_date, which is now different. The specification must clarify: the replay must use the new sowing_date as the temporal anchor. All relative day numbers (current_day_number, baseline_day_number) must be recalculated relative to the new sowing_date. Actions that pre-date the new sowing_date must be flagged with a pre_sowing_date_action warning and logged but not applied in timeline recalculation. If the modification shifts the seasonal_window_category, admin must be notified — seasonal category changes are rare and potentially significant.</w:t>
      </w:r>
    </w:p>
    <w:p>
      <w:pPr>
        <w:spacing w:before="0" w:after="100"/>
      </w:pPr>
    </w:p>
    <w:p>
      <w:pPr>
        <w:pStyle w:val="Heading2"/>
        <w:spacing w:before="280" w:after="80"/>
      </w:pPr>
      <w:r>
        <w:rPr>
          <w:rFonts w:ascii="Arial" w:cs="Arial" w:eastAsia="Arial" w:hAnsi="Arial"/>
          <w:b/>
          <w:bCs/>
          <w:color w:val="1C1C1C"/>
          <w:sz w:val="26"/>
          <w:szCs w:val="26"/>
        </w:rPr>
        <w:t xml:space="preserve">Section 2 (SOE)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Provider Specialization &amp; Crop Alignment</w:t>
      </w:r>
    </w:p>
    <w:p>
      <w:pPr>
        <w:spacing w:before="60" w:after="80"/>
        <w:ind/>
      </w:pPr>
      <w:r>
        <w:rPr>
          <w:rFonts w:ascii="Arial" w:cs="Arial" w:eastAsia="Arial" w:hAnsi="Arial"/>
          <w:color w:val="1C1C1C"/>
          <w:sz w:val="22"/>
          <w:szCs w:val="22"/>
        </w:rPr>
        <w:t xml:space="preserve">Section 2.4 defines service_types as a general list (equipment / labor / transport / storage). But in agriculture, a tractor for wheat tillage is not the same as a harvester for rice. The service provider model needs crop-type alignment to be practically useful.</w:t>
      </w:r>
    </w:p>
    <w:p>
      <w:pPr>
        <w:spacing w:before="60" w:after="80"/>
        <w:ind/>
      </w:pPr>
      <w:r>
        <w:rPr>
          <w:rFonts w:ascii="Arial" w:cs="Arial" w:eastAsia="Arial" w:hAnsi="Arial"/>
          <w:color w:val="1C1C1C"/>
          <w:sz w:val="22"/>
          <w:szCs w:val="22"/>
        </w:rPr>
        <w:t xml:space="preserve">The service_providers entity must include a crop_specializations field (JSONB, list of crop_types the provider has experience with). The marketplace filtering must allow farmers to filter by crop_type, not just service_type. TrustScore computation should include a specialization_match_bonus when a provider's crop_specializations overlaps with the requesting farmer's crop_type — this rewards relevant experience.</w:t>
      </w:r>
    </w:p>
    <w:p>
      <w:pPr>
        <w:spacing w:before="0" w:after="100"/>
      </w:pPr>
    </w:p>
    <w:p>
      <w:pPr>
        <w:pStyle w:val="Heading3"/>
        <w:spacing w:before="200" w:after="60"/>
      </w:pPr>
      <w:r>
        <w:rPr>
          <w:rFonts w:ascii="Arial" w:cs="Arial" w:eastAsia="Arial" w:hAnsi="Arial"/>
          <w:b/>
          <w:bCs/>
          <w:color w:val="2E5C3E"/>
          <w:sz w:val="22"/>
          <w:szCs w:val="22"/>
        </w:rPr>
        <w:t xml:space="preserve">Enhancement: Provider Response Time Metric</w:t>
      </w:r>
    </w:p>
    <w:p>
      <w:pPr>
        <w:spacing w:before="60" w:after="80"/>
        <w:ind/>
      </w:pPr>
      <w:r>
        <w:rPr>
          <w:rFonts w:ascii="Arial" w:cs="Arial" w:eastAsia="Arial" w:hAnsi="Arial"/>
          <w:color w:val="1C1C1C"/>
          <w:sz w:val="22"/>
          <w:szCs w:val="22"/>
        </w:rPr>
        <w:t xml:space="preserve">Section 2.8.1 defines ResponseTime as 'normalized response latency' but never specifies what this means. Response time from what to what? The specification must define: ResponseTime = time between ServiceRequest created and provider first contact attempt, where 'contact attempt' is defined as the provider acknowledging the request through the platform. This requires a provider_acknowledged_at field on ServiceRequest. Without this, ResponseTime cannot be computed and the trust formula has an undefined input.</w:t>
      </w:r>
    </w:p>
    <w:p>
      <w:pPr>
        <w:spacing w:before="0" w:after="100"/>
      </w:pPr>
    </w:p>
    <w:p>
      <w:pPr>
        <w:pStyle w:val="Heading2"/>
        <w:spacing w:before="280" w:after="80"/>
      </w:pPr>
      <w:r>
        <w:rPr>
          <w:rFonts w:ascii="Arial" w:cs="Arial" w:eastAsia="Arial" w:hAnsi="Arial"/>
          <w:b/>
          <w:bCs/>
          <w:color w:val="1C1C1C"/>
          <w:sz w:val="26"/>
          <w:szCs w:val="26"/>
        </w:rPr>
        <w:t xml:space="preserve">Section 3 (Event Dispatcher)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Emergency Preemption for Critical Weather Events</w:t>
      </w:r>
    </w:p>
    <w:p>
      <w:pPr>
        <w:spacing w:before="60" w:after="80"/>
        <w:ind/>
      </w:pPr>
      <w:r>
        <w:rPr>
          <w:rFonts w:ascii="Arial" w:cs="Arial" w:eastAsia="Arial" w:hAnsi="Arial"/>
          <w:color w:val="1C1C1C"/>
          <w:sz w:val="22"/>
          <w:szCs w:val="22"/>
        </w:rPr>
        <w:t xml:space="preserve">Section 3.8 defines a priority model (High/Medium/Low). But the model applies 'only within same partition.' This creates a critical gap: if a weather API update indicates an imminent frost event in the next 24 hours, this is a time-critical cross-crop concern. A low-priority trust-score recalculation in the same partition should not delay it, but a long-running replay in that partition currently would.</w:t>
      </w:r>
    </w:p>
    <w:p>
      <w:pPr>
        <w:spacing w:before="60" w:after="80"/>
        <w:ind/>
      </w:pPr>
      <w:r>
        <w:rPr>
          <w:rFonts w:ascii="Arial" w:cs="Arial" w:eastAsia="Arial" w:hAnsi="Arial"/>
          <w:color w:val="1C1C1C"/>
          <w:sz w:val="22"/>
          <w:szCs w:val="22"/>
        </w:rPr>
        <w:t xml:space="preserve">The specification must define an Emergency priority tier above High. Emergency-priority events must be able to interrupt a currently running replay (pause it, save interim state as a partial snapshot, process the emergency event, then resume replay). This interrupt mechanism requires a checkpoint within the replay algorithm every N actions. The Emergency tier must be used exclusively for: extreme weather alerts, admin-initiated kill switches, and system health degradation events.</w:t>
      </w:r>
    </w:p>
    <w:p>
      <w:pPr>
        <w:spacing w:before="0" w:after="100"/>
      </w:pPr>
    </w:p>
    <w:p>
      <w:pPr>
        <w:pStyle w:val="Heading3"/>
        <w:spacing w:before="200" w:after="60"/>
      </w:pPr>
      <w:r>
        <w:rPr>
          <w:rFonts w:ascii="Arial" w:cs="Arial" w:eastAsia="Arial" w:hAnsi="Arial"/>
          <w:b/>
          <w:bCs/>
          <w:color w:val="2E5C3E"/>
          <w:sz w:val="22"/>
          <w:szCs w:val="22"/>
        </w:rPr>
        <w:t xml:space="preserve">Enhancement: Event Expiry Policy</w:t>
      </w:r>
    </w:p>
    <w:p>
      <w:pPr>
        <w:spacing w:before="60" w:after="80"/>
        <w:ind/>
      </w:pPr>
      <w:r>
        <w:rPr>
          <w:rFonts w:ascii="Arial" w:cs="Arial" w:eastAsia="Arial" w:hAnsi="Arial"/>
          <w:color w:val="1C1C1C"/>
          <w:sz w:val="22"/>
          <w:szCs w:val="22"/>
        </w:rPr>
        <w:t xml:space="preserve">The event_log table has created_at and processed_at but no expires_at. For certain event types, processing a stale event is worse than not processing it. For example, a WeatherUpdated event that was queued during a 6-hour system outage should not be processed as current weather data when the system recovers. The specification must define: each event_type must have a max_processing_age_minutes in the alert_rules configuration. Events older than this threshold must be moved to dead_letter_events with failure_reason = 'expired_before_processing' rather than being executed with stale data.</w:t>
      </w:r>
    </w:p>
    <w:p>
      <w:pPr>
        <w:spacing w:before="0" w:after="100"/>
      </w:pPr>
    </w:p>
    <w:p>
      <w:pPr>
        <w:pStyle w:val="Heading2"/>
        <w:spacing w:before="280" w:after="80"/>
      </w:pPr>
      <w:r>
        <w:rPr>
          <w:rFonts w:ascii="Arial" w:cs="Arial" w:eastAsia="Arial" w:hAnsi="Arial"/>
          <w:b/>
          <w:bCs/>
          <w:color w:val="1C1C1C"/>
          <w:sz w:val="26"/>
          <w:szCs w:val="26"/>
        </w:rPr>
        <w:t xml:space="preserve">Section 4 (ML Architecture)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Behavioral Adaptation Season Reset</w:t>
      </w:r>
    </w:p>
    <w:p>
      <w:pPr>
        <w:spacing w:before="60" w:after="80"/>
        <w:ind/>
      </w:pPr>
      <w:r>
        <w:rPr>
          <w:rFonts w:ascii="Arial" w:cs="Arial" w:eastAsia="Arial" w:hAnsi="Arial"/>
          <w:color w:val="1C1C1C"/>
          <w:sz w:val="22"/>
          <w:szCs w:val="22"/>
        </w:rPr>
        <w:t xml:space="preserve">Section 4.2 Layer 3 defines the behavioral adaptation model: the system tracks that a farmer consistently deviates (e.g., irrigates 2 days late) and shifts recommendations accordingly. But it defines no reset mechanism between growing seasons.</w:t>
      </w:r>
    </w:p>
    <w:p>
      <w:pPr>
        <w:spacing w:before="60" w:after="80"/>
        <w:ind/>
      </w:pPr>
      <w:r>
        <w:rPr>
          <w:rFonts w:ascii="Arial" w:cs="Arial" w:eastAsia="Arial" w:hAnsi="Arial"/>
          <w:color w:val="1C1C1C"/>
          <w:sz w:val="22"/>
          <w:szCs w:val="22"/>
        </w:rPr>
        <w:t xml:space="preserve">This is a serious logical gap. A farmer may have consistently delayed irrigation in Season 1 because their pump was broken — not because they prefer late irrigation. If this behavioral offset persists into Season 2 after the pump is repaired, the system will give systematically wrong early recommendations. The specification must define: behavioral offsets are season-scoped. At the start of each new CropInstance for the same farmer and crop_type, behavioral offsets from the previous season must carry a decay weight (e.g., 0.5). After two seasons without the pattern recurring, the offset must reset to zero. Farmers must also be able to manually reset their behavioral profile.</w:t>
      </w:r>
    </w:p>
    <w:p>
      <w:pPr>
        <w:spacing w:before="0" w:after="100"/>
      </w:pPr>
    </w:p>
    <w:p>
      <w:pPr>
        <w:pStyle w:val="Heading3"/>
        <w:spacing w:before="200" w:after="60"/>
      </w:pPr>
      <w:r>
        <w:rPr>
          <w:rFonts w:ascii="Arial" w:cs="Arial" w:eastAsia="Arial" w:hAnsi="Arial"/>
          <w:b/>
          <w:bCs/>
          <w:color w:val="2E5C3E"/>
          <w:sz w:val="22"/>
          <w:szCs w:val="22"/>
        </w:rPr>
        <w:t xml:space="preserve">Enhancement: Regional Cluster Confidence Interval</w:t>
      </w:r>
    </w:p>
    <w:p>
      <w:pPr>
        <w:spacing w:before="60" w:after="80"/>
        <w:ind/>
      </w:pPr>
      <w:r>
        <w:rPr>
          <w:rFonts w:ascii="Arial" w:cs="Arial" w:eastAsia="Arial" w:hAnsi="Arial"/>
          <w:color w:val="1C1C1C"/>
          <w:sz w:val="22"/>
          <w:szCs w:val="22"/>
        </w:rPr>
        <w:t xml:space="preserve">Section 5.6.2 defines regional_clusters with avg_delay, avg_yield, and sample_size. The regional learning model in Section 4.2 Layer 4 uses these clusters to adjust recommendations. But there is a fundamental statistical problem: a cluster based on 5 samples and a cluster based on 500 samples both influence recommendations with equal weight. This is incorrect.</w:t>
      </w:r>
    </w:p>
    <w:p>
      <w:pPr>
        <w:spacing w:before="60" w:after="80"/>
        <w:ind/>
      </w:pPr>
      <w:r>
        <w:rPr>
          <w:rFonts w:ascii="Arial" w:cs="Arial" w:eastAsia="Arial" w:hAnsi="Arial"/>
          <w:color w:val="1C1C1C"/>
          <w:sz w:val="22"/>
          <w:szCs w:val="22"/>
        </w:rPr>
        <w:t xml:space="preserve">The regional_clusters table must add: std_dev_delay (FLOAT), std_dev_yield (FLOAT), and confidence_interval_95 (JSONB storing {lower, upper} for yield). The regional adaptation offset applied to recommendations must be weighted by a data_confidence_factor = min(1.0, sample_size / minimum_confident_sample_size). This means small-sample clusters have attenuated influence. Large-sample clusters have full influence. This protects farmers in sparsely populated regions from being over-influenced by a handful of atypical cases.</w:t>
      </w:r>
    </w:p>
    <w:p>
      <w:pPr>
        <w:spacing w:before="0" w:after="100"/>
      </w:pPr>
    </w:p>
    <w:p>
      <w:pPr>
        <w:pStyle w:val="Heading3"/>
        <w:spacing w:before="200" w:after="60"/>
      </w:pPr>
      <w:r>
        <w:rPr>
          <w:rFonts w:ascii="Arial" w:cs="Arial" w:eastAsia="Arial" w:hAnsi="Arial"/>
          <w:b/>
          <w:bCs/>
          <w:color w:val="2E5C3E"/>
          <w:sz w:val="22"/>
          <w:szCs w:val="22"/>
        </w:rPr>
        <w:t xml:space="preserve">Enhancement: ML Inference Caching Policy</w:t>
      </w:r>
    </w:p>
    <w:p>
      <w:pPr>
        <w:spacing w:before="60" w:after="80"/>
        <w:ind/>
      </w:pPr>
      <w:r>
        <w:rPr>
          <w:rFonts w:ascii="Arial" w:cs="Arial" w:eastAsia="Arial" w:hAnsi="Arial"/>
          <w:color w:val="1C1C1C"/>
          <w:sz w:val="22"/>
          <w:szCs w:val="22"/>
        </w:rPr>
        <w:t xml:space="preserve">The risk model runs for every crop instance and is influenced by: stress_score, seasonal_risk_index, delay_days, weather_risk, recent deviation count, and stage position. Most of these change slowly. If a farmer's stress_score hasn't changed and weather risk is stable, re-running the logistic regression on every API call is computationally redundant at scale.</w:t>
      </w:r>
    </w:p>
    <w:p>
      <w:pPr>
        <w:spacing w:before="60" w:after="80"/>
        <w:ind/>
      </w:pPr>
      <w:r>
        <w:rPr>
          <w:rFonts w:ascii="Arial" w:cs="Arial" w:eastAsia="Arial" w:hAnsi="Arial"/>
          <w:color w:val="1C1C1C"/>
          <w:sz w:val="22"/>
          <w:szCs w:val="22"/>
        </w:rPr>
        <w:t xml:space="preserve">The specification must define an ML inference cache: risk inference results must be cached per crop_instance with a last_inference_at timestamp. Inference must only be re-run when: stress_score changes by more than a delta threshold, weather_risk changes, a new action is logged, or the cache is older than X hours. This cache must be stored as a field on crop_instances (last_risk_probability, last_inference_at) — not as a separate service, to keep the architecture conservative.</w:t>
      </w:r>
    </w:p>
    <w:p>
      <w:pPr>
        <w:spacing w:before="0" w:after="100"/>
      </w:pPr>
    </w:p>
    <w:p>
      <w:pPr>
        <w:pStyle w:val="Heading2"/>
        <w:spacing w:before="280" w:after="80"/>
      </w:pPr>
      <w:r>
        <w:rPr>
          <w:rFonts w:ascii="Arial" w:cs="Arial" w:eastAsia="Arial" w:hAnsi="Arial"/>
          <w:b/>
          <w:bCs/>
          <w:color w:val="1C1C1C"/>
          <w:sz w:val="26"/>
          <w:szCs w:val="26"/>
        </w:rPr>
        <w:t xml:space="preserve">Section 5 (Data Model)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action_logs Compression Strategy</w:t>
      </w:r>
    </w:p>
    <w:p>
      <w:pPr>
        <w:spacing w:before="60" w:after="80"/>
        <w:ind/>
      </w:pPr>
      <w:r>
        <w:rPr>
          <w:rFonts w:ascii="Arial" w:cs="Arial" w:eastAsia="Arial" w:hAnsi="Arial"/>
          <w:color w:val="1C1C1C"/>
          <w:sz w:val="22"/>
          <w:szCs w:val="22"/>
        </w:rPr>
        <w:t xml:space="preserve">Section 1.19 states that maximum supported actions per crop is 500–1000 and replay latency target is &lt; 2 seconds for 500 actions. Section 5.3.3 defines the action_logs table. But with JSONB metadata per action and full timestamp data, 1000 action records could be substantial. The specification must define a metadata compression policy: for completed (Harvested or Closed) crop instances, metadata JSONB fields for Informational-category actions (which have no replay impact per Section 1.6.3) may be compressed to a summary hash after a defined archival period. This preserves replay determinism while reducing storage footprint at scale.</w:t>
      </w:r>
    </w:p>
    <w:p>
      <w:pPr>
        <w:spacing w:before="0" w:after="100"/>
      </w:pPr>
    </w:p>
    <w:p>
      <w:pPr>
        <w:pStyle w:val="Heading3"/>
        <w:spacing w:before="200" w:after="60"/>
      </w:pPr>
      <w:r>
        <w:rPr>
          <w:rFonts w:ascii="Arial" w:cs="Arial" w:eastAsia="Arial" w:hAnsi="Arial"/>
          <w:b/>
          <w:bCs/>
          <w:color w:val="2E5C3E"/>
          <w:sz w:val="22"/>
          <w:szCs w:val="22"/>
        </w:rPr>
        <w:t xml:space="preserve">Enhancement: Multi-Tenant Land Parcel Model</w:t>
      </w:r>
    </w:p>
    <w:p>
      <w:pPr>
        <w:spacing w:before="60" w:after="80"/>
        <w:ind/>
      </w:pPr>
      <w:r>
        <w:rPr>
          <w:rFonts w:ascii="Arial" w:cs="Arial" w:eastAsia="Arial" w:hAnsi="Arial"/>
          <w:color w:val="1C1C1C"/>
          <w:sz w:val="22"/>
          <w:szCs w:val="22"/>
        </w:rPr>
        <w:t xml:space="preserve">The current data model assumes one farmer owns one contiguous land area. The land_area field on crop_instances is a single FLOAT. But many Indian farmers cultivate multiple non-contiguous parcels — a farmer might have 3 acres in one village and 2 acres in another, both growing the same crop but in slightly different micro-climates.</w:t>
      </w:r>
    </w:p>
    <w:p>
      <w:pPr>
        <w:spacing w:before="60" w:after="80"/>
        <w:ind/>
      </w:pPr>
      <w:r>
        <w:rPr>
          <w:rFonts w:ascii="Arial" w:cs="Arial" w:eastAsia="Arial" w:hAnsi="Arial"/>
          <w:color w:val="1C1C1C"/>
          <w:sz w:val="22"/>
          <w:szCs w:val="22"/>
        </w:rPr>
        <w:t xml:space="preserve">The specification must introduce a land_parcels table: { parcel_id, farmer_id, parcel_name, region, sub_region, land_area, soil_type (optional JSONB), gps_coordinates (optional JSONB) }. CropInstances must optionally reference a parcel_id. When parcel data is available, regional risk calculations must use the parcel's sub_region, not just the broader region. This does not require GPS hardware — a farmer can describe their parcel by village name.</w:t>
      </w:r>
    </w:p>
    <w:p>
      <w:pPr>
        <w:spacing w:before="0" w:after="100"/>
      </w:pPr>
    </w:p>
    <w:p>
      <w:pPr>
        <w:pStyle w:val="Heading2"/>
        <w:spacing w:before="280" w:after="80"/>
      </w:pPr>
      <w:r>
        <w:rPr>
          <w:rFonts w:ascii="Arial" w:cs="Arial" w:eastAsia="Arial" w:hAnsi="Arial"/>
          <w:b/>
          <w:bCs/>
          <w:color w:val="1C1C1C"/>
          <w:sz w:val="26"/>
          <w:szCs w:val="26"/>
        </w:rPr>
        <w:t xml:space="preserve">Section 6 (Media Intelligence)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Voice Note Intent Parsing</w:t>
      </w:r>
    </w:p>
    <w:p>
      <w:pPr>
        <w:spacing w:before="60" w:after="80"/>
        <w:ind/>
      </w:pPr>
      <w:r>
        <w:rPr>
          <w:rFonts w:ascii="Arial" w:cs="Arial" w:eastAsia="Arial" w:hAnsi="Arial"/>
          <w:color w:val="1C1C1C"/>
          <w:sz w:val="22"/>
          <w:szCs w:val="22"/>
        </w:rPr>
        <w:t xml:space="preserve">Section 6.8 defines voice media handling: converted to text, stored as transcript, parsed for keywords, used as contextual metadata. But 'parsed for keywords' is significantly underspecified. If a farmer says 'aaj meine pani diya' (today I irrigated), this should ideally be parseable as an irrigation action suggestion, not just metadata.</w:t>
      </w:r>
    </w:p>
    <w:p>
      <w:pPr>
        <w:spacing w:before="60" w:after="80"/>
        <w:ind/>
      </w:pPr>
      <w:r>
        <w:rPr>
          <w:rFonts w:ascii="Arial" w:cs="Arial" w:eastAsia="Arial" w:hAnsi="Arial"/>
          <w:color w:val="1C1C1C"/>
          <w:sz w:val="22"/>
          <w:szCs w:val="22"/>
        </w:rPr>
        <w:t xml:space="preserve">The specification must define a voice_intent_extraction layer: after speech-to-text, the transcript must be passed through an intent classifier that outputs a structured intent_proposal: { suggested_action_type, confidence, extracted_date_reference }. This proposal must be presented to the farmer for confirmation before any action is logged — voice can suggest, but the farmer must confirm. If intent confidence is below threshold, the transcript is stored as metadata only. The confirmation step protects chronological integrity.</w:t>
      </w:r>
    </w:p>
    <w:p>
      <w:pPr>
        <w:spacing w:before="0" w:after="100"/>
      </w:pPr>
    </w:p>
    <w:p>
      <w:pPr>
        <w:pStyle w:val="Heading2"/>
        <w:spacing w:before="280" w:after="80"/>
      </w:pPr>
      <w:r>
        <w:rPr>
          <w:rFonts w:ascii="Arial" w:cs="Arial" w:eastAsia="Arial" w:hAnsi="Arial"/>
          <w:b/>
          <w:bCs/>
          <w:color w:val="1C1C1C"/>
          <w:sz w:val="26"/>
          <w:szCs w:val="26"/>
        </w:rPr>
        <w:t xml:space="preserve">Section 7 (Accessibility)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Accessibility Settings Synchronization</w:t>
      </w:r>
    </w:p>
    <w:p>
      <w:pPr>
        <w:spacing w:before="60" w:after="80"/>
        <w:ind/>
      </w:pPr>
      <w:r>
        <w:rPr>
          <w:rFonts w:ascii="Arial" w:cs="Arial" w:eastAsia="Arial" w:hAnsi="Arial"/>
          <w:color w:val="1C1C1C"/>
          <w:sz w:val="22"/>
          <w:szCs w:val="22"/>
        </w:rPr>
        <w:t xml:space="preserve">Section 7.14 stores accessibility_settings as JSONB in the farmers table. Section 5.3.1 shows preferred_language as a separate TEXT field in the same farmers table. This creates a synchronization risk: language preference is stored in two locations (as a top-level field and potentially within accessibility_settings if a language toggle is added), which could diverge.</w:t>
      </w:r>
    </w:p>
    <w:p>
      <w:pPr>
        <w:spacing w:before="60" w:after="80"/>
        <w:ind/>
      </w:pPr>
      <w:r>
        <w:rPr>
          <w:rFonts w:ascii="Arial" w:cs="Arial" w:eastAsia="Arial" w:hAnsi="Arial"/>
          <w:color w:val="1C1C1C"/>
          <w:sz w:val="22"/>
          <w:szCs w:val="22"/>
        </w:rPr>
        <w:t xml:space="preserve">The specification must consolidate: preferred_language must be moved into accessibility_settings JSONB as a primary field. A migration script must be defined to populate existing records. All API endpoints that return farmer data must expose a single source of truth for language preference. The frontend must read only from accessibility_settings for all display customization including language.</w:t>
      </w:r>
    </w:p>
    <w:p>
      <w:pPr>
        <w:spacing w:before="0" w:after="100"/>
      </w:pPr>
    </w:p>
    <w:p>
      <w:pPr>
        <w:pStyle w:val="Heading3"/>
        <w:spacing w:before="200" w:after="60"/>
      </w:pPr>
      <w:r>
        <w:rPr>
          <w:rFonts w:ascii="Arial" w:cs="Arial" w:eastAsia="Arial" w:hAnsi="Arial"/>
          <w:b/>
          <w:bCs/>
          <w:color w:val="2E5C3E"/>
          <w:sz w:val="22"/>
          <w:szCs w:val="22"/>
        </w:rPr>
        <w:t xml:space="preserve">Enhancement: Offline Accessibility Mode Persistence</w:t>
      </w:r>
    </w:p>
    <w:p>
      <w:pPr>
        <w:spacing w:before="60" w:after="80"/>
        <w:ind/>
      </w:pPr>
      <w:r>
        <w:rPr>
          <w:rFonts w:ascii="Arial" w:cs="Arial" w:eastAsia="Arial" w:hAnsi="Arial"/>
          <w:color w:val="1C1C1C"/>
          <w:sz w:val="22"/>
          <w:szCs w:val="22"/>
        </w:rPr>
        <w:t xml:space="preserve">Section 7.3 defines accessibility modes as toggles stored per-user. But if a farmer is offline, their accessibility settings should still apply to locally cached content. The spec never addresses this. The PWA's IndexedDB offline cache must include accessibility_settings as a cached record, refreshed on every successful sync. This ensures that Lite Mode, High Contrast, and Low Literacy Mode all function correctly when the farmer has no connectivity — which is precisely when they most need the app to work.</w:t>
      </w:r>
    </w:p>
    <w:p>
      <w:pPr>
        <w:spacing w:before="0" w:after="100"/>
      </w:pPr>
    </w:p>
    <w:p>
      <w:pPr>
        <w:pStyle w:val="Heading2"/>
        <w:spacing w:before="280" w:after="80"/>
      </w:pPr>
      <w:r>
        <w:rPr>
          <w:rFonts w:ascii="Arial" w:cs="Arial" w:eastAsia="Arial" w:hAnsi="Arial"/>
          <w:b/>
          <w:bCs/>
          <w:color w:val="1C1C1C"/>
          <w:sz w:val="26"/>
          <w:szCs w:val="26"/>
        </w:rPr>
        <w:t xml:space="preserve">Section 8 (API Contracts)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GET /crops Response Pagination &amp; Filtering</w:t>
      </w:r>
    </w:p>
    <w:p>
      <w:pPr>
        <w:spacing w:before="60" w:after="80"/>
        <w:ind/>
      </w:pPr>
      <w:r>
        <w:rPr>
          <w:rFonts w:ascii="Arial" w:cs="Arial" w:eastAsia="Arial" w:hAnsi="Arial"/>
          <w:color w:val="1C1C1C"/>
          <w:sz w:val="22"/>
          <w:szCs w:val="22"/>
        </w:rPr>
        <w:t xml:space="preserve">Section 8.4 defines API endpoints for crop instances but only specifies GET /crops/{id} (single instance). A farmer with multiple active crops needs a list endpoint. The specification must define: GET /api/v1/crops with query parameters: state (filter by CropInstance state), crop_type (filter by type), include_archived (boolean, default false), page (integer), page_size (integer, default 10, max 50). The response must include a pagination envelope: { total_count, page, page_size, results: [...] }. Without this endpoint, the frontend cannot render a multi-crop dashboard.</w:t>
      </w:r>
    </w:p>
    <w:p>
      <w:pPr>
        <w:spacing w:before="0" w:after="100"/>
      </w:pPr>
    </w:p>
    <w:p>
      <w:pPr>
        <w:pStyle w:val="Heading3"/>
        <w:spacing w:before="200" w:after="60"/>
      </w:pPr>
      <w:r>
        <w:rPr>
          <w:rFonts w:ascii="Arial" w:cs="Arial" w:eastAsia="Arial" w:hAnsi="Arial"/>
          <w:b/>
          <w:bCs/>
          <w:color w:val="2E5C3E"/>
          <w:sz w:val="22"/>
          <w:szCs w:val="22"/>
        </w:rPr>
        <w:t xml:space="preserve">Enhancement: Optimistic UI Contract for Action Logging</w:t>
      </w:r>
    </w:p>
    <w:p>
      <w:pPr>
        <w:spacing w:before="60" w:after="80"/>
        <w:ind/>
      </w:pPr>
      <w:r>
        <w:rPr>
          <w:rFonts w:ascii="Arial" w:cs="Arial" w:eastAsia="Arial" w:hAnsi="Arial"/>
          <w:color w:val="1C1C1C"/>
          <w:sz w:val="22"/>
          <w:szCs w:val="22"/>
        </w:rPr>
        <w:t xml:space="preserve">Section 8.4.3 defines action logging as POST /crops/{id}/actions which triggers an ActionLogged event. In high-latency rural networks, waiting for the full event processing cycle before showing the farmer feedback is poor UX. The specification must define an optimistic UI contract: the API must immediately return a 202 Accepted response with { action_id, status: 'queued', estimated_processing_ms } as soon as the action is persisted and the event is queued. A separate GET /api/v1/crops/{id}/actions/{action_id}/status endpoint must allow the frontend to poll for processing completion. The UI must optimistically show the action as logged and update with the final state when the poll resolves.</w:t>
      </w:r>
    </w:p>
    <w:p>
      <w:pPr>
        <w:spacing w:before="0" w:after="100"/>
      </w:pPr>
    </w:p>
    <w:p>
      <w:pPr>
        <w:pStyle w:val="Heading2"/>
        <w:spacing w:before="280" w:after="80"/>
      </w:pPr>
      <w:r>
        <w:rPr>
          <w:rFonts w:ascii="Arial" w:cs="Arial" w:eastAsia="Arial" w:hAnsi="Arial"/>
          <w:b/>
          <w:bCs/>
          <w:color w:val="1C1C1C"/>
          <w:sz w:val="26"/>
          <w:szCs w:val="26"/>
        </w:rPr>
        <w:t xml:space="preserve">Section 9 (Deployment)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Database Connection Exhaustion Guard</w:t>
      </w:r>
    </w:p>
    <w:p>
      <w:pPr>
        <w:spacing w:before="60" w:after="80"/>
        <w:ind/>
      </w:pPr>
      <w:r>
        <w:rPr>
          <w:rFonts w:ascii="Arial" w:cs="Arial" w:eastAsia="Arial" w:hAnsi="Arial"/>
          <w:color w:val="1C1C1C"/>
          <w:sz w:val="22"/>
          <w:szCs w:val="22"/>
        </w:rPr>
        <w:t xml:space="preserve">Section 9.5 recommends PostgreSQL with Cloud SQL. Section 9.12 targets 100–200 users. Cloud Run containers are ephemeral and can spin up rapidly. If each container instance opens its own PostgreSQL connection pool (e.g., 5 connections per instance) and Cloud Run scales to 20 instances under load, that is 100 simultaneous connections — well within Cloud SQL limits. But the replay engine, video worker, and background jobs each need their own connections. The specification must define a connection budget: max_connections per service must be declared and summed to ensure the total never exceeds 80% of the Cloud SQL instance's max_connections limit. PgBouncer or Cloud SQL's built-in connection pooler must be mandated as soon as user count exceeds 200.</w:t>
      </w:r>
    </w:p>
    <w:p>
      <w:pPr>
        <w:spacing w:before="0" w:after="100"/>
      </w:pPr>
    </w:p>
    <w:p>
      <w:pPr>
        <w:pStyle w:val="Heading3"/>
        <w:spacing w:before="200" w:after="60"/>
      </w:pPr>
      <w:r>
        <w:rPr>
          <w:rFonts w:ascii="Arial" w:cs="Arial" w:eastAsia="Arial" w:hAnsi="Arial"/>
          <w:b/>
          <w:bCs/>
          <w:color w:val="2E5C3E"/>
          <w:sz w:val="22"/>
          <w:szCs w:val="22"/>
        </w:rPr>
        <w:t xml:space="preserve">Enhancement: Secrets Rotation Policy</w:t>
      </w:r>
    </w:p>
    <w:p>
      <w:pPr>
        <w:spacing w:before="60" w:after="80"/>
        <w:ind/>
      </w:pPr>
      <w:r>
        <w:rPr>
          <w:rFonts w:ascii="Arial" w:cs="Arial" w:eastAsia="Arial" w:hAnsi="Arial"/>
          <w:color w:val="1C1C1C"/>
          <w:sz w:val="22"/>
          <w:szCs w:val="22"/>
        </w:rPr>
        <w:t xml:space="preserve">Section 9.14 mentions secrets stored in Secret Manager. But there is no rotation policy. JWT signing keys, database passwords, and WhatsApp webhook secrets must all be rotated. The specification must define: JWT signing keys must be rotated every 90 days. Database passwords must be rotated every 180 days. WhatsApp webhook secret must be rotated after any suspected compromise. All services must support hot rotation — reading the new secret without a container restart — using Secret Manager's versioning with automatic latest-version resolution.</w:t>
      </w:r>
    </w:p>
    <w:p>
      <w:pPr>
        <w:spacing w:before="0" w:after="100"/>
      </w:pPr>
    </w:p>
    <w:p>
      <w:pPr>
        <w:pStyle w:val="Heading2"/>
        <w:spacing w:before="280" w:after="80"/>
      </w:pPr>
      <w:r>
        <w:rPr>
          <w:rFonts w:ascii="Arial" w:cs="Arial" w:eastAsia="Arial" w:hAnsi="Arial"/>
          <w:b/>
          <w:bCs/>
          <w:color w:val="1C1C1C"/>
          <w:sz w:val="26"/>
          <w:szCs w:val="26"/>
        </w:rPr>
        <w:t xml:space="preserve">Section 10 (Lifecycle Walkthrough)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First Crop Onboarding Flow</w:t>
      </w:r>
    </w:p>
    <w:p>
      <w:pPr>
        <w:spacing w:before="60" w:after="80"/>
        <w:ind/>
      </w:pPr>
      <w:r>
        <w:rPr>
          <w:rFonts w:ascii="Arial" w:cs="Arial" w:eastAsia="Arial" w:hAnsi="Arial"/>
          <w:color w:val="1C1C1C"/>
          <w:sz w:val="22"/>
          <w:szCs w:val="22"/>
        </w:rPr>
        <w:t xml:space="preserve">Section 10.2 begins with 'Step 1: Farmer Registration' and immediately moves to 'Step 2: Create Crop Instance.' But between registration and first crop creation, there is a critical UX gap that the MSDD ignores entirely: how does a farmer who may have limited smartphone literacy know what to do next?</w:t>
      </w:r>
    </w:p>
    <w:p>
      <w:pPr>
        <w:spacing w:before="60" w:after="80"/>
        <w:ind/>
      </w:pPr>
      <w:r>
        <w:rPr>
          <w:rFonts w:ascii="Arial" w:cs="Arial" w:eastAsia="Arial" w:hAnsi="Arial"/>
          <w:color w:val="1C1C1C"/>
          <w:sz w:val="22"/>
          <w:szCs w:val="22"/>
        </w:rPr>
        <w:t xml:space="preserve">The specification must define a FirstCropOnboarding state on the farmer entity (is_onboarded: BOOLEAN, default false). Until is_onboarded = true, the UI must present a simplified guided flow: step 1 (language selection), step 2 (accessibility mode selection), step 3 (crop type selection with visual icons for each crop type), step 4 (land area input with voice option), step 5 (sowing date with a calendar picker and voice option), step 6 (confirmation screen). Only after the first crop is successfully created does is_onboarded = true. Subsequent crop creation uses the standard API flow.</w:t>
      </w:r>
    </w:p>
    <w:p>
      <w:pPr>
        <w:spacing w:before="0" w:after="100"/>
      </w:pPr>
    </w:p>
    <w:p>
      <w:pPr>
        <w:pStyle w:val="Heading3"/>
        <w:spacing w:before="200" w:after="60"/>
      </w:pPr>
      <w:r>
        <w:rPr>
          <w:rFonts w:ascii="Arial" w:cs="Arial" w:eastAsia="Arial" w:hAnsi="Arial"/>
          <w:b/>
          <w:bCs/>
          <w:color w:val="2E5C3E"/>
          <w:sz w:val="22"/>
          <w:szCs w:val="22"/>
        </w:rPr>
        <w:t xml:space="preserve">Enhancement: Yield Submission Walkthrough for First-Time Farmers</w:t>
      </w:r>
    </w:p>
    <w:p>
      <w:pPr>
        <w:spacing w:before="60" w:after="80"/>
        <w:ind/>
      </w:pPr>
      <w:r>
        <w:rPr>
          <w:rFonts w:ascii="Arial" w:cs="Arial" w:eastAsia="Arial" w:hAnsi="Arial"/>
          <w:color w:val="1C1C1C"/>
          <w:sz w:val="22"/>
          <w:szCs w:val="22"/>
        </w:rPr>
        <w:t xml:space="preserve">Section 10.7 defines yield submission at harvest. But for a first-time farmer, 'yield' is an abstract concept. The specification must define that when state transitions to ReadyToHarvest, the system must trigger a contextual guidance sequence: explain what yield means, provide the unit (kg/acre or quintal/acre as per farmer's region preference), show the biological maximum for this crop as a reference, and present a simple numeric input. The guidance sequence must be skippable for experienced users (those who have submitted yield before).</w:t>
      </w:r>
    </w:p>
    <w:p>
      <w:pPr>
        <w:spacing w:before="0" w:after="100"/>
      </w:pPr>
    </w:p>
    <w:p>
      <w:pPr>
        <w:pStyle w:val="Heading2"/>
        <w:spacing w:before="280" w:after="80"/>
      </w:pPr>
      <w:r>
        <w:rPr>
          <w:rFonts w:ascii="Arial" w:cs="Arial" w:eastAsia="Arial" w:hAnsi="Arial"/>
          <w:b/>
          <w:bCs/>
          <w:color w:val="1C1C1C"/>
          <w:sz w:val="26"/>
          <w:szCs w:val="26"/>
        </w:rPr>
        <w:t xml:space="preserve">Section 11 (Security)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ML Poisoning via Media Manipulation</w:t>
      </w:r>
    </w:p>
    <w:p>
      <w:pPr>
        <w:spacing w:before="60" w:after="80"/>
        <w:ind/>
      </w:pPr>
      <w:r>
        <w:rPr>
          <w:rFonts w:ascii="Arial" w:cs="Arial" w:eastAsia="Arial" w:hAnsi="Arial"/>
          <w:color w:val="1C1C1C"/>
          <w:sz w:val="22"/>
          <w:szCs w:val="22"/>
        </w:rPr>
        <w:t xml:space="preserve">Section 11.6 addresses yield-based ML poisoning (false yield inflation). But there is an unaddressed vector: a sophisticated user could systematically upload high-quality images of healthy crops while reporting high stress, or vice versa. Over time, if these manipulated media features are used in training, the CNN classifier's stress calibration drifts.</w:t>
      </w:r>
    </w:p>
    <w:p>
      <w:pPr>
        <w:spacing w:before="60" w:after="80"/>
        <w:ind/>
      </w:pPr>
      <w:r>
        <w:rPr>
          <w:rFonts w:ascii="Arial" w:cs="Arial" w:eastAsia="Arial" w:hAnsi="Arial"/>
          <w:color w:val="1C1C1C"/>
          <w:sz w:val="22"/>
          <w:szCs w:val="22"/>
        </w:rPr>
        <w:t xml:space="preserve">The specification must define a media-feature cross-validation gate: before any media feature is admitted to the ML training dataset, it must pass a consistency check: if extracted stress_probability is high but farmer-reported stress outcome is consistently low over multiple instances, flag the farmer's media contributions for review. This cross-validation uses the yield_verification_score concept from Section 4.3 — extend it to media contribution scoring. A media_contribution_reliability_score per farmer must gate their media features from entering training if the score drops below threshold.</w:t>
      </w:r>
    </w:p>
    <w:p>
      <w:pPr>
        <w:spacing w:before="0" w:after="100"/>
      </w:pPr>
    </w:p>
    <w:p>
      <w:pPr>
        <w:pStyle w:val="Heading2"/>
        <w:spacing w:before="280" w:after="80"/>
      </w:pPr>
      <w:r>
        <w:rPr>
          <w:rFonts w:ascii="Arial" w:cs="Arial" w:eastAsia="Arial" w:hAnsi="Arial"/>
          <w:b/>
          <w:bCs/>
          <w:color w:val="1C1C1C"/>
          <w:sz w:val="26"/>
          <w:szCs w:val="26"/>
        </w:rPr>
        <w:t xml:space="preserve">Section 12 (Testing)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Recommendation Engine Test Suite</w:t>
      </w:r>
    </w:p>
    <w:p>
      <w:pPr>
        <w:spacing w:before="60" w:after="80"/>
        <w:ind/>
      </w:pPr>
      <w:r>
        <w:rPr>
          <w:rFonts w:ascii="Arial" w:cs="Arial" w:eastAsia="Arial" w:hAnsi="Arial"/>
          <w:color w:val="1C1C1C"/>
          <w:sz w:val="22"/>
          <w:szCs w:val="22"/>
        </w:rPr>
        <w:t xml:space="preserve">Section 12 defines testing for CTIS, ML, media, event ordering, replay, and security. But it has no test category for the recommendation engine — which, per Part I of this document, is a missing module that needs to be built. When the recommendation engine is specified and implemented, the test suite must include: priority ranking determinism tests (same inputs must always produce the same ranked recommendation list), behavioral offset application tests (offset = +2 days must move recommendation 2 days earlier), suppression tests (acted recommendation must not resurface), and multi-crop interference tests (recommendations for Crop A must not bleed into Crop B's recommendation list).</w:t>
      </w:r>
    </w:p>
    <w:p>
      <w:pPr>
        <w:spacing w:before="0" w:after="100"/>
      </w:pPr>
    </w:p>
    <w:p>
      <w:pPr>
        <w:pStyle w:val="Heading3"/>
        <w:spacing w:before="200" w:after="60"/>
      </w:pPr>
      <w:r>
        <w:rPr>
          <w:rFonts w:ascii="Arial" w:cs="Arial" w:eastAsia="Arial" w:hAnsi="Arial"/>
          <w:b/>
          <w:bCs/>
          <w:color w:val="2E5C3E"/>
          <w:sz w:val="22"/>
          <w:szCs w:val="22"/>
        </w:rPr>
        <w:t xml:space="preserve">Enhancement: Notification System Test Suite</w:t>
      </w:r>
    </w:p>
    <w:p>
      <w:pPr>
        <w:spacing w:before="60" w:after="80"/>
        <w:ind/>
      </w:pPr>
      <w:r>
        <w:rPr>
          <w:rFonts w:ascii="Arial" w:cs="Arial" w:eastAsia="Arial" w:hAnsi="Arial"/>
          <w:color w:val="1C1C1C"/>
          <w:sz w:val="22"/>
          <w:szCs w:val="22"/>
        </w:rPr>
        <w:t xml:space="preserve">Similarly, the notification architecture (Missing Module 1) requires a dedicated test category: throttle enforcement tests (no more than 3 alerts per crop per 24 hours), deduplication tests (same alert_type cannot have two Pending entries for the same crop), quiet hours suppression tests, delivery channel fallback tests (simulate WhatsApp failure → verify SMS or in-app fallback), and session expiry tests for WhatsApp (expired session reply must be rejected).</w:t>
      </w:r>
    </w:p>
    <w:p>
      <w:pPr>
        <w:spacing w:before="0" w:after="100"/>
      </w:pPr>
    </w:p>
    <w:p>
      <w:pPr>
        <w:pStyle w:val="Heading2"/>
        <w:spacing w:before="280" w:after="80"/>
      </w:pPr>
      <w:r>
        <w:rPr>
          <w:rFonts w:ascii="Arial" w:cs="Arial" w:eastAsia="Arial" w:hAnsi="Arial"/>
          <w:b/>
          <w:bCs/>
          <w:color w:val="1C1C1C"/>
          <w:sz w:val="26"/>
          <w:szCs w:val="26"/>
        </w:rPr>
        <w:t xml:space="preserve">Section 13 (Roadmap) — Enhancements</w:t>
      </w:r>
    </w:p>
    <w:p>
      <w:pPr>
        <w:spacing w:before="0" w:after="100"/>
      </w:pPr>
    </w:p>
    <w:p>
      <w:pPr>
        <w:pStyle w:val="Heading3"/>
        <w:spacing w:before="200" w:after="60"/>
      </w:pPr>
      <w:r>
        <w:rPr>
          <w:rFonts w:ascii="Arial" w:cs="Arial" w:eastAsia="Arial" w:hAnsi="Arial"/>
          <w:b/>
          <w:bCs/>
          <w:color w:val="2E5C3E"/>
          <w:sz w:val="22"/>
          <w:szCs w:val="22"/>
        </w:rPr>
        <w:t xml:space="preserve">Enhancement: Notification &amp; Recommendation Layer in Phase Sequence</w:t>
      </w:r>
    </w:p>
    <w:p>
      <w:pPr>
        <w:spacing w:before="60" w:after="80"/>
        <w:ind/>
      </w:pPr>
      <w:r>
        <w:rPr>
          <w:rFonts w:ascii="Arial" w:cs="Arial" w:eastAsia="Arial" w:hAnsi="Arial"/>
          <w:color w:val="1C1C1C"/>
          <w:sz w:val="22"/>
          <w:szCs w:val="22"/>
        </w:rPr>
        <w:t xml:space="preserve">Section 13.2 through 13.10 define 10 development phases. The notification architecture and recommendation engine — both identified as missing modules in this analysis — are not placed anywhere in the roadmap. This creates an implementation gap: developers will build CTIS, the event dispatcher, and the UI without knowing when notifications and recommendations are built.</w:t>
      </w:r>
    </w:p>
    <w:p>
      <w:pPr>
        <w:spacing w:before="60" w:after="80"/>
        <w:ind/>
      </w:pPr>
      <w:r>
        <w:rPr>
          <w:rFonts w:ascii="Arial" w:cs="Arial" w:eastAsia="Arial" w:hAnsi="Arial"/>
          <w:color w:val="1C1C1C"/>
          <w:sz w:val="22"/>
          <w:szCs w:val="22"/>
        </w:rPr>
        <w:t xml:space="preserve">The notification architecture must be added as a deliverable in Phase 2 (Event Dispatcher stabilization), since alerts depend on the event system. The recommendation engine must be added as a deliverable in Phase 3 (media pipeline phase), since recommendations need stress and risk data to be meaningful. Both must be listed in the Phase 1 exit criteria as interfaces-only (data model defined, no delivery logic yet) to ensure the schema supports them from the start.</w:t>
      </w:r>
    </w:p>
    <w:p>
      <w:pPr>
        <w:spacing w:before="0" w:after="100"/>
      </w:pPr>
    </w:p>
    <w:p>
      <w:pPr>
        <w:pStyle w:val="Heading3"/>
        <w:spacing w:before="200" w:after="60"/>
      </w:pPr>
      <w:r>
        <w:rPr>
          <w:rFonts w:ascii="Arial" w:cs="Arial" w:eastAsia="Arial" w:hAnsi="Arial"/>
          <w:b/>
          <w:bCs/>
          <w:color w:val="2E5C3E"/>
          <w:sz w:val="22"/>
          <w:szCs w:val="22"/>
        </w:rPr>
        <w:t xml:space="preserve">Enhancement: Explicit Data Migration Phase</w:t>
      </w:r>
    </w:p>
    <w:p>
      <w:pPr>
        <w:spacing w:before="60" w:after="80"/>
        <w:ind/>
      </w:pPr>
      <w:r>
        <w:rPr>
          <w:rFonts w:ascii="Arial" w:cs="Arial" w:eastAsia="Arial" w:hAnsi="Arial"/>
          <w:color w:val="1C1C1C"/>
          <w:sz w:val="22"/>
          <w:szCs w:val="22"/>
        </w:rPr>
        <w:t xml:space="preserve">Section 13 defines phases for feature development but has no phase for data migration and backfill. In a multi-phase build, the schema evolves: Phase 1 creates farmers, crop_instances, action_logs. Phase 2 adds event_log. Phase 3 adds media_records. If a Phase 2 feature needs a field that was not in Phase 1's schema, existing records need migration. Without a formal migration policy in the roadmap, schema changes during development will cause ad-hoc SQL edits that violate Section 5.15's migration policy.</w:t>
      </w:r>
    </w:p>
    <w:p>
      <w:pPr>
        <w:spacing w:before="60" w:after="80"/>
        <w:ind/>
      </w:pPr>
      <w:r>
        <w:rPr>
          <w:rFonts w:ascii="Arial" w:cs="Arial" w:eastAsia="Arial" w:hAnsi="Arial"/>
          <w:color w:val="1C1C1C"/>
          <w:sz w:val="22"/>
          <w:szCs w:val="22"/>
        </w:rPr>
        <w:t xml:space="preserve">A Migration Discipline must be added to each phase: before any new phase begins, a migration script for the schema changes of that phase must be written, tested on a copy of staging data, and approved. This is not a new phase — it is a gate condition for each existing phase transition.</w:t>
      </w:r>
    </w:p>
    <w:p>
      <w:pPr>
        <w:spacing w:before="0" w:after="100"/>
      </w:pPr>
    </w:p>
    <w:p>
      <w:r>
        <w:br w:type="page"/>
      </w:r>
    </w:p>
    <w:p>
      <w:pPr>
        <w:pStyle w:val="Heading1"/>
        <w:pBdr>
          <w:bottom w:val="single" w:color="1A6B3C" w:sz="4" w:space="4"/>
        </w:pBdr>
        <w:spacing w:before="360" w:after="120"/>
      </w:pPr>
      <w:r>
        <w:rPr>
          <w:rFonts w:ascii="Arial" w:cs="Arial" w:eastAsia="Arial" w:hAnsi="Arial"/>
          <w:b/>
          <w:bCs/>
          <w:color w:val="1A6B3C"/>
          <w:sz w:val="32"/>
          <w:szCs w:val="32"/>
        </w:rPr>
        <w:t xml:space="preserve">PART III: Cross-Cutting Architectural Concerns</w:t>
      </w:r>
    </w:p>
    <w:p>
      <w:pPr>
        <w:spacing w:before="60" w:after="80"/>
        <w:ind/>
      </w:pPr>
      <w:r>
        <w:rPr>
          <w:rFonts w:ascii="Arial" w:cs="Arial" w:eastAsia="Arial" w:hAnsi="Arial"/>
          <w:color w:val="1C1C1C"/>
          <w:sz w:val="22"/>
          <w:szCs w:val="22"/>
        </w:rPr>
        <w:t xml:space="preserve">The following enhancements address concerns that span multiple sections and cannot be attributed to a single section.</w:t>
      </w:r>
    </w:p>
    <w:p>
      <w:pPr>
        <w:spacing w:before="0" w:after="100"/>
      </w:pPr>
    </w:p>
    <w:p>
      <w:pPr>
        <w:pStyle w:val="Heading2"/>
        <w:spacing w:before="280" w:after="80"/>
      </w:pPr>
      <w:r>
        <w:rPr>
          <w:rFonts w:ascii="Arial" w:cs="Arial" w:eastAsia="Arial" w:hAnsi="Arial"/>
          <w:b/>
          <w:bCs/>
          <w:color w:val="1C1C1C"/>
          <w:sz w:val="26"/>
          <w:szCs w:val="26"/>
        </w:rPr>
        <w:t xml:space="preserve">Cross-Cut 1 — Multi-Region Farmer: Region Consistency</w:t>
      </w:r>
    </w:p>
    <w:p>
      <w:pPr>
        <w:spacing w:before="60" w:after="80"/>
        <w:ind/>
      </w:pPr>
      <w:r>
        <w:rPr>
          <w:rFonts w:ascii="Arial" w:cs="Arial" w:eastAsia="Arial" w:hAnsi="Arial"/>
          <w:color w:val="1C1C1C"/>
          <w:sz w:val="22"/>
          <w:szCs w:val="22"/>
        </w:rPr>
        <w:t xml:space="preserve">The current data model places region on both the farmers table (as a primary region) and on each crop_instance (which can differ). The MSDD never addresses what happens when a farmer creates a crop in a region different from their registered region. This affects: seasonal_window_category assignment (which region's calendar applies?), regional clustering (which cluster does this crop belong to?), weather risk (which weather API zone?), and SOE provider discovery (which region's providers are shown?).</w:t>
      </w:r>
    </w:p>
    <w:p>
      <w:pPr>
        <w:spacing w:before="60" w:after="80"/>
        <w:ind/>
      </w:pPr>
      <w:r>
        <w:rPr>
          <w:rFonts w:ascii="Arial" w:cs="Arial" w:eastAsia="Arial" w:hAnsi="Arial"/>
          <w:color w:val="1C1C1C"/>
          <w:sz w:val="22"/>
          <w:szCs w:val="22"/>
        </w:rPr>
        <w:t xml:space="preserve">The specification must state clearly: all regional computations use the crop_instance's region field, not the farmer's registered region. The farmer's region field is used only for initial defaults and contact information. This rule must be explicit to prevent implementation ambiguity.</w:t>
      </w:r>
    </w:p>
    <w:p>
      <w:pPr>
        <w:spacing w:before="0" w:after="100"/>
      </w:pPr>
    </w:p>
    <w:p>
      <w:pPr>
        <w:pStyle w:val="Heading2"/>
        <w:spacing w:before="280" w:after="80"/>
      </w:pPr>
      <w:r>
        <w:rPr>
          <w:rFonts w:ascii="Arial" w:cs="Arial" w:eastAsia="Arial" w:hAnsi="Arial"/>
          <w:b/>
          <w:bCs/>
          <w:color w:val="1C1C1C"/>
          <w:sz w:val="26"/>
          <w:szCs w:val="26"/>
        </w:rPr>
        <w:t xml:space="preserve">Cross-Cut 2 — Translation Key Architecture</w:t>
      </w:r>
    </w:p>
    <w:p>
      <w:pPr>
        <w:spacing w:before="60" w:after="80"/>
        <w:ind/>
      </w:pPr>
      <w:r>
        <w:rPr>
          <w:rFonts w:ascii="Arial" w:cs="Arial" w:eastAsia="Arial" w:hAnsi="Arial"/>
          <w:color w:val="1C1C1C"/>
          <w:sz w:val="22"/>
          <w:szCs w:val="22"/>
        </w:rPr>
        <w:t xml:space="preserve">Section 7.13 says 'All UI text stored in translation files' and 'No hard-coded strings.' The recommendation engine specification (Part I, Missing Module 2) introduces message_key and message_parameters as the mechanism for dynamic translated messages. The notification system introduces the same. But neither the MSDD nor this analysis has defined the translation key naming convention or the parameterized message format.</w:t>
      </w:r>
    </w:p>
    <w:p>
      <w:pPr>
        <w:spacing w:before="60" w:after="80"/>
        <w:ind/>
      </w:pPr>
      <w:r>
        <w:rPr>
          <w:rFonts w:ascii="Arial" w:cs="Arial" w:eastAsia="Arial" w:hAnsi="Arial"/>
          <w:color w:val="1C1C1C"/>
          <w:sz w:val="22"/>
          <w:szCs w:val="22"/>
        </w:rPr>
        <w:t xml:space="preserve">A translation key architecture must be defined: keys must follow the format {module}.{category}.{identifier}, e.g. ctis.alert.at_risk, soe.review.submitted, recommendation.irrigation.due_tomorrow. Parameterized messages must use a named placeholder convention: { { crop_type } } irrigation is due in { { days } } days. The translation file format must be defined (JSON recommended). All code that emits user-facing messages must use only message_key + parameters, never raw strings — enforced by a linting rule during development.</w:t>
      </w:r>
    </w:p>
    <w:p>
      <w:pPr>
        <w:spacing w:before="0" w:after="100"/>
      </w:pPr>
    </w:p>
    <w:p>
      <w:pPr>
        <w:pStyle w:val="Heading2"/>
        <w:spacing w:before="280" w:after="80"/>
      </w:pPr>
      <w:r>
        <w:rPr>
          <w:rFonts w:ascii="Arial" w:cs="Arial" w:eastAsia="Arial" w:hAnsi="Arial"/>
          <w:b/>
          <w:bCs/>
          <w:color w:val="1C1C1C"/>
          <w:sz w:val="26"/>
          <w:szCs w:val="26"/>
        </w:rPr>
        <w:t xml:space="preserve">Cross-Cut 3 — Audit Log Coverage Completeness</w:t>
      </w:r>
    </w:p>
    <w:p>
      <w:pPr>
        <w:spacing w:before="60" w:after="80"/>
        <w:ind/>
      </w:pPr>
      <w:r>
        <w:rPr>
          <w:rFonts w:ascii="Arial" w:cs="Arial" w:eastAsia="Arial" w:hAnsi="Arial"/>
          <w:color w:val="1C1C1C"/>
          <w:sz w:val="22"/>
          <w:szCs w:val="22"/>
        </w:rPr>
        <w:t xml:space="preserve">The AdminAuditLog is well-specified for admin actions. But the MSDD has a subtle gap: farmer self-service destructive actions (delete crop, dismiss alert, reset behavioral profile, request data export) are not defined as audit events. If a farmer's data export is requested and later disputed, there is no record of the request.</w:t>
      </w:r>
    </w:p>
    <w:p>
      <w:pPr>
        <w:spacing w:before="60" w:after="80"/>
        <w:ind/>
      </w:pPr>
      <w:r>
        <w:rPr>
          <w:rFonts w:ascii="Arial" w:cs="Arial" w:eastAsia="Arial" w:hAnsi="Arial"/>
          <w:color w:val="1C1C1C"/>
          <w:sz w:val="22"/>
          <w:szCs w:val="22"/>
        </w:rPr>
        <w:t xml:space="preserve">The specification must define a farmer_action_audit_log table separate from AdminAuditLog, recording: farmer_id, action_type (export_request / crop_archive / alert_dismiss / profile_reset / accessibility_change), entity_id, timestamp, and ip_address. This is not for moderation — it is for dispute resolution and for regulatory compliance if CultivaX is ever audited for data handling practices.</w:t>
      </w:r>
    </w:p>
    <w:p>
      <w:pPr>
        <w:spacing w:before="0" w:after="100"/>
      </w:pPr>
    </w:p>
    <w:p>
      <w:pPr>
        <w:pStyle w:val="Heading2"/>
        <w:spacing w:before="280" w:after="80"/>
      </w:pPr>
      <w:r>
        <w:rPr>
          <w:rFonts w:ascii="Arial" w:cs="Arial" w:eastAsia="Arial" w:hAnsi="Arial"/>
          <w:b/>
          <w:bCs/>
          <w:color w:val="1C1C1C"/>
          <w:sz w:val="26"/>
          <w:szCs w:val="26"/>
        </w:rPr>
        <w:t xml:space="preserve">Cross-Cut 4 — Graceful Degradation Completeness</w:t>
      </w:r>
    </w:p>
    <w:p>
      <w:pPr>
        <w:spacing w:before="60" w:after="80"/>
        <w:ind/>
      </w:pPr>
      <w:r>
        <w:rPr>
          <w:rFonts w:ascii="Arial" w:cs="Arial" w:eastAsia="Arial" w:hAnsi="Arial"/>
          <w:color w:val="1C1C1C"/>
          <w:sz w:val="22"/>
          <w:szCs w:val="22"/>
        </w:rPr>
        <w:t xml:space="preserve">The MSDD defines graceful degradation for ML failure (fall back to rules), media failure (don't update stress), weather API failure (use historical baseline), and market API failure (this analysis added a policy). But there is no unified graceful degradation policy — each subsystem independently falls back without a system-wide degradation mode.</w:t>
      </w:r>
    </w:p>
    <w:p>
      <w:pPr>
        <w:spacing w:before="60" w:after="80"/>
        <w:ind/>
      </w:pPr>
      <w:r>
        <w:rPr>
          <w:rFonts w:ascii="Arial" w:cs="Arial" w:eastAsia="Arial" w:hAnsi="Arial"/>
          <w:color w:val="1C1C1C"/>
          <w:sz w:val="22"/>
          <w:szCs w:val="22"/>
        </w:rPr>
        <w:t xml:space="preserve">A system degradation state must be defined: the backend must maintain a system_health table with one row per subsystem (ML, weather_api, market_api, media_worker, event_dispatcher) and a status field (Operational / Degraded / Down). On startup and on scheduled checks, each subsystem health is verified. When any subsystem is Degraded or Down, a DegradedModeActive system flag must be set. The frontend must display a system status indicator informing the farmer of what is currently limited. This transforms silent degradation into transparent degradation — which is far more appropriate for a system that farmers depend on for agricultural decisions.</w:t>
      </w:r>
    </w:p>
    <w:p>
      <w:pPr>
        <w:spacing w:before="0" w:after="100"/>
      </w:pPr>
    </w:p>
    <w:p>
      <w:r>
        <w:br w:type="page"/>
      </w:r>
    </w:p>
    <w:p>
      <w:pPr>
        <w:pStyle w:val="Heading1"/>
        <w:pBdr>
          <w:bottom w:val="single" w:color="1A6B3C" w:sz="4" w:space="4"/>
        </w:pBdr>
        <w:spacing w:before="360" w:after="120"/>
      </w:pPr>
      <w:r>
        <w:rPr>
          <w:rFonts w:ascii="Arial" w:cs="Arial" w:eastAsia="Arial" w:hAnsi="Arial"/>
          <w:b/>
          <w:bCs/>
          <w:color w:val="1A6B3C"/>
          <w:sz w:val="32"/>
          <w:szCs w:val="32"/>
        </w:rPr>
        <w:t xml:space="preserve">Summary: Enhancement Inventory</w:t>
      </w:r>
    </w:p>
    <w:p>
      <w:pPr>
        <w:spacing w:before="60" w:after="80"/>
        <w:ind/>
      </w:pPr>
      <w:r>
        <w:rPr>
          <w:rFonts w:ascii="Arial" w:cs="Arial" w:eastAsia="Arial" w:hAnsi="Arial"/>
          <w:color w:val="1C1C1C"/>
          <w:sz w:val="22"/>
          <w:szCs w:val="22"/>
        </w:rPr>
        <w:t xml:space="preserve">The following table catalogues all enhancements in this document for quick reference: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4000"/>
        <w:gridCol w:w="1880"/>
      </w:tblGrid>
      <w:tr>
        <w:tc>
          <w:tcPr>
            <w:tcW w:type="dxa" w:w="480"/>
            <w:tcBorders>
              <w:top w:val="single" w:color="CCCCCC" w:sz="1"/>
              <w:left w:val="single" w:color="CCCCCC" w:sz="1"/>
              <w:bottom w:val="single" w:color="CCCCCC" w:sz="1"/>
              <w:right w:val="single" w:color="CCCCCC" w:sz="1"/>
            </w:tcBorders>
            <w:shd w:fill="1A6B3C"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880"/>
            <w:tcBorders>
              <w:top w:val="single" w:color="CCCCCC" w:sz="1"/>
              <w:left w:val="single" w:color="CCCCCC" w:sz="1"/>
              <w:bottom w:val="single" w:color="CCCCCC" w:sz="1"/>
              <w:right w:val="single" w:color="CCCCCC" w:sz="1"/>
            </w:tcBorders>
            <w:shd w:fill="1A6B3C"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Notification Architecture (Sec 14)</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Recommendation Engine (Sec 15)</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WhatsApp Session State Management</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Farmer Data Portability &amp; Ownership</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Seasonal Window Calendar Definition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CropRuleTemplate Governance &amp; Authoring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Market Data Integration Architecture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Edge AI Model Distribution Mechanism</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Missing Module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Stage-Aware Alpha in Stress Smoothing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 (CTIS)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What-If Engine Output Contract</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 (CTIS)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Sowing Date Modification — Replay Scope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 (CTIS)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Provider Specialization &amp; Crop Alignment</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2 (SOE)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Provider Response Time Metric Definition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2 (SOE)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Emergency Event Preemption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3 (Events)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Event Expiry Policy</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3 (Events)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Behavioral Adaptation Season Reset</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4 (ML)</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Regional Cluster Confidence Interval</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4 (ML)</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ML Inference Caching Policy</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4 (ML)</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555555"/>
                <w:sz w:val="18"/>
                <w:szCs w:val="18"/>
              </w:rPr>
              <w:t xml:space="preserve">Low</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action_logs Compression Strategy</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5 (Data)</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555555"/>
                <w:sz w:val="18"/>
                <w:szCs w:val="18"/>
              </w:rPr>
              <w:t xml:space="preserve">Low</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Multi-Tenant Land Parcel Model</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5 (Data)</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Voice Note Intent Parsing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6 (Media)</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Accessibility Settings Synchronization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7 (Access.)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Offline Accessibility Mode Persistence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7 (Access.)</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/crops Pagination &amp; Filtering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8 (API)</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C0392B"/>
                <w:sz w:val="18"/>
                <w:szCs w:val="18"/>
              </w:rPr>
              <w:t xml:space="preserve">Critical</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Optimistic UI Contract for Action Logging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8 (API)</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DB Connection Exhaustion Guard</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9 (Deploy)</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Secrets Rotation Policy</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9 (Deploy)</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First Crop Onboarding Flow</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10 (Lifecycle)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29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Yield Submission Guidance for First-Timers</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10 (Lifecycle)</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Media-Based ML Poisoning Prevention</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11 (Security)</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Notification &amp; Recommendation Test Suite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12 (Testing)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Notification &amp; Rec. Layer in Phase Sequence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13 (Roadmap)</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Explicit Data Migration Phase Gate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Section 13 (Roadmap)</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Multi-Region Farmer Consistency Rule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Cross-Cutting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Translation Key Architecture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Cross-Cutting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Farmer Self-Service Audit Log</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Cross-Cutting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6B3C"/>
                <w:sz w:val="18"/>
                <w:szCs w:val="18"/>
              </w:rPr>
              <w:t xml:space="preserve">Medium</w:t>
            </w:r>
          </w:p>
        </w:tc>
      </w:tr>
      <w:tr>
        <w:tc>
          <w:tcPr>
            <w:tcW w:type="dxa" w:w="480"/>
            <w:tcBorders>
              <w:top w:val="single" w:color="CCCCCC" w:sz="1"/>
              <w:left w:val="single" w:color="CCCCCC" w:sz="1"/>
              <w:bottom w:val="single" w:color="CCCCCC" w:sz="1"/>
              <w:right w:val="single" w:color="CCCCCC" w:sz="1"/>
            </w:tcBorders>
            <w:shd w:fill="FAFAFA" w:val="clear"/>
            <w:tcMar>
              <w:top w:type="dxa" w:w="60"/>
              <w:left w:type="dxa" w:w="80"/>
              <w:bottom w:type="dxa" w:w="60"/>
              <w:right w:type="dxa" w:w="80"/>
            </w:tcMar>
          </w:tcPr>
          <w:p>
            <w:r>
              <w:rPr>
                <w:rFonts w:ascii="Arial" w:cs="Arial" w:eastAsia="Arial" w:hAnsi="Arial"/>
                <w:sz w:val="18"/>
                <w:szCs w:val="18"/>
              </w:rPr>
              <w:t xml:space="preserve">37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Unified System Degradation State</w:t>
            </w:r>
          </w:p>
        </w:tc>
        <w:tc>
          <w:tcPr>
            <w:tcW w:type="dxa" w:w="4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8"/>
                <w:szCs w:val="18"/>
              </w:rPr>
              <w:t xml:space="preserve">Cross-Cutting</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D68910"/>
                <w:sz w:val="18"/>
                <w:szCs w:val="18"/>
              </w:rPr>
              <w:t xml:space="preserve">High</w:t>
            </w:r>
          </w:p>
        </w:tc>
      </w:tr>
    </w:tbl>
    <w:p>
      <w:pPr>
        <w:spacing w:before="0" w:after="100"/>
      </w:pPr>
    </w:p>
    <w:p>
      <w:pPr>
        <w:spacing w:before="0" w:after="100"/>
      </w:pPr>
    </w:p>
    <w:p>
      <w:pPr>
        <w:spacing w:before="60" w:after="80"/>
        <w:ind/>
      </w:pPr>
      <w:r>
        <w:rPr>
          <w:rFonts w:ascii="Arial" w:cs="Arial" w:eastAsia="Arial" w:hAnsi="Arial"/>
          <w:color w:val="444444"/>
          <w:sz w:val="22"/>
          <w:szCs w:val="22"/>
        </w:rPr>
        <w:t xml:space="preserve">This analysis identified 8 missing modules and 29 intra-section enhancements. The most critical category is the missing modules — these represent entire architectural concerns that must be specified before implementation begins in their respective phases. The intra-section enhancements are important refinements that improve the system's correctness, fairness, and defensibility.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3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C1C1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C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2026-02-25T10:09:21.031Z</dcterms:created>
  <dcterms:modified xsi:type="dcterms:W3CDTF">2026-02-25T10:09:21.032Z</dcterms:modified>
</cp:coreProperties>
</file>

<file path=docProps/custom.xml><?xml version="1.0" encoding="utf-8"?>
<Properties xmlns="http://schemas.openxmlformats.org/officeDocument/2006/custom-properties" xmlns:vt="http://schemas.openxmlformats.org/officeDocument/2006/docPropsVTypes"/>
</file>