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القسم-الأول-مقدمة"/>
    <w:p>
      <w:pPr>
        <w:pStyle w:val="Heading2"/>
      </w:pPr>
      <w:r>
        <w:rPr>
          <w:rStyle w:val="SectionNumber"/>
        </w:rPr>
        <w:t xml:space="preserve">1</w:t>
      </w:r>
      <w:r>
        <w:tab/>
      </w:r>
      <w:r>
        <w:t xml:space="preserve">القسم الأول: مقدمة</w:t>
      </w:r>
    </w:p>
    <w:bookmarkStart w:id="20" w:name="تعريفات"/>
    <w:p>
      <w:pPr>
        <w:pStyle w:val="Heading3"/>
      </w:pPr>
      <w:r>
        <w:rPr>
          <w:rStyle w:val="SectionNumber"/>
        </w:rPr>
        <w:t xml:space="preserve">1.1</w:t>
      </w:r>
      <w:r>
        <w:tab/>
      </w:r>
      <w:r>
        <w:t xml:space="preserve">تعريفات</w:t>
      </w:r>
    </w:p>
    <w:bookmarkEnd w:id="20"/>
    <w:bookmarkStart w:id="21" w:name="تعريف-عن-المنافسة"/>
    <w:p>
      <w:pPr>
        <w:pStyle w:val="Heading3"/>
      </w:pPr>
      <w:r>
        <w:rPr>
          <w:rStyle w:val="SectionNumber"/>
        </w:rPr>
        <w:t xml:space="preserve">1.2</w:t>
      </w:r>
      <w:r>
        <w:tab/>
      </w:r>
      <w:r>
        <w:t xml:space="preserve">تعريف عن المنافسة</w:t>
      </w:r>
    </w:p>
    <w:bookmarkEnd w:id="21"/>
    <w:bookmarkEnd w:id="22"/>
    <w:bookmarkStart w:id="24" w:name="القسم-الثالث-الشروط-المالية"/>
    <w:p>
      <w:pPr>
        <w:pStyle w:val="Heading2"/>
      </w:pPr>
      <w:r>
        <w:rPr>
          <w:rStyle w:val="SectionNumber"/>
        </w:rPr>
        <w:t xml:space="preserve">2</w:t>
      </w:r>
      <w:r>
        <w:tab/>
      </w:r>
      <w:r>
        <w:t xml:space="preserve">القسم الثالث: الشروط المالية</w:t>
      </w:r>
    </w:p>
    <w:bookmarkStart w:id="23" w:name="ميزانية-المشروع"/>
    <w:p>
      <w:pPr>
        <w:pStyle w:val="Heading3"/>
      </w:pPr>
      <w:r>
        <w:rPr>
          <w:rStyle w:val="SectionNumber"/>
        </w:rPr>
        <w:t xml:space="preserve">2.1</w:t>
      </w:r>
      <w:r>
        <w:tab/>
      </w:r>
      <w:r>
        <w:t xml:space="preserve">ميزانية المشروع</w:t>
      </w:r>
    </w:p>
    <w:bookmarkEnd w:id="23"/>
    <w:bookmarkEnd w:id="24"/>
    <w:bookmarkStart w:id="26" w:name="القسم-الخامس-المتطلبات-الفنية"/>
    <w:p>
      <w:pPr>
        <w:pStyle w:val="Heading2"/>
      </w:pPr>
      <w:r>
        <w:rPr>
          <w:rStyle w:val="SectionNumber"/>
        </w:rPr>
        <w:t xml:space="preserve">3</w:t>
      </w:r>
      <w:r>
        <w:tab/>
      </w:r>
      <w:r>
        <w:t xml:space="preserve">القسم الخامس: المتطلبات الفنية</w:t>
      </w:r>
    </w:p>
    <w:bookmarkStart w:id="25" w:name="التصميم-المعماري"/>
    <w:p>
      <w:pPr>
        <w:pStyle w:val="Heading3"/>
      </w:pPr>
      <w:r>
        <w:rPr>
          <w:rStyle w:val="SectionNumber"/>
        </w:rPr>
        <w:t xml:space="preserve">3.1</w:t>
      </w:r>
      <w:r>
        <w:tab/>
      </w:r>
      <w:r>
        <w:t xml:space="preserve">التصميم المعماري</w:t>
      </w:r>
    </w:p>
    <w:bookmarkEnd w:id="25"/>
    <w:bookmarkEnd w:id="26"/>
    <w:bookmarkStart w:id="28" w:name="القسم-السابع-تحليل-المخاطر"/>
    <w:p>
      <w:pPr>
        <w:pStyle w:val="Heading2"/>
      </w:pPr>
      <w:r>
        <w:rPr>
          <w:rStyle w:val="SectionNumber"/>
        </w:rPr>
        <w:t xml:space="preserve">4</w:t>
      </w:r>
      <w:r>
        <w:tab/>
      </w:r>
      <w:r>
        <w:t xml:space="preserve">القسم السابع: تحليل المخاطر</w:t>
      </w:r>
    </w:p>
    <w:bookmarkStart w:id="27" w:name="تحديد-المخاطر"/>
    <w:p>
      <w:pPr>
        <w:pStyle w:val="Heading3"/>
      </w:pPr>
      <w:r>
        <w:rPr>
          <w:rStyle w:val="SectionNumber"/>
        </w:rPr>
        <w:t xml:space="preserve">4.1</w:t>
      </w:r>
      <w:r>
        <w:tab/>
      </w:r>
      <w:r>
        <w:t xml:space="preserve">تحديد المخاطر</w:t>
      </w:r>
    </w:p>
    <w:bookmarkEnd w:id="27"/>
    <w:bookmarkEnd w:id="28"/>
    <w:bookmarkStart w:id="30" w:name="القسم-التاسع-التقييم-والاختيار"/>
    <w:p>
      <w:pPr>
        <w:pStyle w:val="Heading2"/>
      </w:pPr>
      <w:r>
        <w:rPr>
          <w:rStyle w:val="SectionNumber"/>
        </w:rPr>
        <w:t xml:space="preserve">5</w:t>
      </w:r>
      <w:r>
        <w:tab/>
      </w:r>
      <w:r>
        <w:t xml:space="preserve">القسم التاسع: التقييم والاختيار</w:t>
      </w:r>
    </w:p>
    <w:bookmarkStart w:id="29" w:name="معايير-تقييم-العروض"/>
    <w:p>
      <w:pPr>
        <w:pStyle w:val="Heading3"/>
      </w:pPr>
      <w:r>
        <w:rPr>
          <w:rStyle w:val="SectionNumber"/>
        </w:rPr>
        <w:t xml:space="preserve">5.1</w:t>
      </w:r>
      <w:r>
        <w:tab/>
      </w:r>
      <w:r>
        <w:t xml:space="preserve">معايير تقييم العروض</w:t>
      </w:r>
    </w:p>
    <w:bookmarkEnd w:id="29"/>
    <w:bookmarkEnd w:id="30"/>
    <w:bookmarkStart w:id="32" w:name="القسم-الحادي-عشر-الملاحق"/>
    <w:p>
      <w:pPr>
        <w:pStyle w:val="Heading2"/>
      </w:pPr>
      <w:r>
        <w:rPr>
          <w:rStyle w:val="SectionNumber"/>
        </w:rPr>
        <w:t xml:space="preserve">6</w:t>
      </w:r>
      <w:r>
        <w:tab/>
      </w:r>
      <w:r>
        <w:t xml:space="preserve">القسم الحادي عشر: الملاحق</w:t>
      </w:r>
    </w:p>
    <w:bookmarkStart w:id="31" w:name="المستندات-الداعمة"/>
    <w:p>
      <w:pPr>
        <w:pStyle w:val="Heading3"/>
      </w:pPr>
      <w:r>
        <w:rPr>
          <w:rStyle w:val="SectionNumber"/>
        </w:rPr>
        <w:t xml:space="preserve">6.1</w:t>
      </w:r>
      <w:r>
        <w:tab/>
      </w:r>
      <w:r>
        <w:t xml:space="preserve">المستندات الداعمة</w:t>
      </w:r>
    </w:p>
    <w:p>
      <w:r>
        <w:pict>
          <v:rect style="width:0;height:1.5pt" o:hralign="center" o:hrstd="t" o:hr="t"/>
        </w:pict>
      </w:r>
    </w:p>
    <w:bookmarkEnd w:id="31"/>
    <w:bookmarkEnd w:id="32"/>
    <w:p>
      <w:r>
        <w:br w:type="page"/>
      </w:r>
    </w:p>
    <w:sectPr w:rsidR="002828B4" w:rsidRPr="002828B4">
      <w:headerReference r:id="rId9" w:type="default"/>
      <w:footerReference r:id="rId10" w:type="default"/>
      <w:pgSz w:h="16840" w:w="11910"/>
      <w:pgMar w:bottom="1100" w:footer="901" w:gutter="0" w:header="304" w:left="992" w:right="850" w:top="1600"/>
      <w:cols w:space="720"/>
    </w:sectPr>
    <w:p>
      <w:pPr>
        <w:pStyle w:val="SourceCode"/>
      </w:pPr>
      <w:r>
        <w:rPr>
          <w:rStyle w:val="VerbatimChar"/>
        </w:rPr>
        <w:t xml:space="preserve">                اسم الكراسة: fasdfasdfasdfasf</w:t>
      </w:r>
      <w:r>
        <w:br/>
      </w:r>
      <w:r>
        <w:rPr>
          <w:rStyle w:val="VerbatimChar"/>
        </w:rPr>
        <w:t xml:space="preserve">                أهداف المنافسة: a simple rfp for building schools atleast 10 in the complete country of KSA with budget of 10 million</w:t>
      </w:r>
      <w:r>
        <w:br/>
      </w:r>
      <w:r>
        <w:rPr>
          <w:rStyle w:val="VerbatimChar"/>
        </w:rPr>
        <w:t xml:space="preserve">                وصف المنافسة: a simple rfp for building schools atleast 10 in the complete country of KSA with budget of 10 million</w:t>
      </w:r>
      <w:r>
        <w:br/>
      </w:r>
      <w:r>
        <w:rPr>
          <w:rStyle w:val="VerbatimChar"/>
        </w:rPr>
        <w:t xml:space="preserve">                البريد الإلكتروني: m@123.com</w:t>
      </w:r>
      <w:r>
        <w:br/>
      </w:r>
      <w:r>
        <w:rPr>
          <w:rStyle w:val="VerbatimChar"/>
        </w:rPr>
        <w:t xml:space="preserve">            </w:t>
      </w:r>
    </w:p>
    <w:p>
      <w:pPr>
        <w:pStyle w:val="FirstParagraph"/>
      </w:pPr>
      <w:r>
        <w:rPr>
          <w:b/>
          <w:bCs/>
        </w:rPr>
        <w:t xml:space="preserve">القسم الأول: مقدمة</w:t>
      </w:r>
    </w:p>
    <w:p>
      <w:pPr>
        <w:pStyle w:val="BodyText"/>
      </w:pPr>
      <w:r>
        <w:rPr>
          <w:b/>
          <w:bCs/>
        </w:rPr>
        <w:t xml:space="preserve">تعريفات:</w:t>
      </w:r>
    </w:p>
    <w:p>
      <w:pPr>
        <w:pStyle w:val="BodyText"/>
      </w:pPr>
      <w:r>
        <w:t xml:space="preserve">تتضمن هذه الوثيقة مجموعة من المصطلحات الأساسية التي يتم استخدامها فيما يتعلق بمشروع بناء المدارس:</w:t>
      </w:r>
    </w:p>
    <w:p>
      <w:pPr>
        <w:pStyle w:val="Compact"/>
        <w:numPr>
          <w:ilvl w:val="0"/>
          <w:numId w:val="1001"/>
        </w:numPr>
      </w:pPr>
      <w:r>
        <w:rPr>
          <w:b/>
          <w:bCs/>
        </w:rPr>
        <w:t xml:space="preserve">الجهة الحكومية:</w:t>
      </w:r>
      <w:r>
        <w:t xml:space="preserve"> </w:t>
      </w:r>
      <w:r>
        <w:t xml:space="preserve">هي الجهة المسؤولة عن إدارة هذا المشروع وتقديم التوجيهات اللازمة.</w:t>
      </w:r>
    </w:p>
    <w:p>
      <w:pPr>
        <w:pStyle w:val="Compact"/>
        <w:numPr>
          <w:ilvl w:val="0"/>
          <w:numId w:val="1001"/>
        </w:numPr>
      </w:pPr>
      <w:r>
        <w:rPr>
          <w:b/>
          <w:bCs/>
        </w:rPr>
        <w:t xml:space="preserve">المتنافسين:</w:t>
      </w:r>
      <w:r>
        <w:t xml:space="preserve"> </w:t>
      </w:r>
      <w:r>
        <w:t xml:space="preserve">الكيانات أو الشركات التي تقدّم عروضها للمشاركة في تنفيذ المشروع.</w:t>
      </w:r>
    </w:p>
    <w:p>
      <w:pPr>
        <w:pStyle w:val="Compact"/>
        <w:numPr>
          <w:ilvl w:val="0"/>
          <w:numId w:val="1001"/>
        </w:numPr>
      </w:pPr>
      <w:r>
        <w:rPr>
          <w:b/>
          <w:bCs/>
        </w:rPr>
        <w:t xml:space="preserve">المنافسة:</w:t>
      </w:r>
      <w:r>
        <w:t xml:space="preserve"> </w:t>
      </w:r>
      <w:r>
        <w:t xml:space="preserve">العملية التي يتم من خلالها تلقي العروض من المتنافسين وتقييمها لاختيار الأنسب لتنفيذ المشروع.</w:t>
      </w:r>
    </w:p>
    <w:p>
      <w:pPr>
        <w:pStyle w:val="Compact"/>
        <w:numPr>
          <w:ilvl w:val="0"/>
          <w:numId w:val="1001"/>
        </w:numPr>
      </w:pPr>
      <w:r>
        <w:rPr>
          <w:b/>
          <w:bCs/>
        </w:rPr>
        <w:t xml:space="preserve">النظام:</w:t>
      </w:r>
      <w:r>
        <w:t xml:space="preserve"> </w:t>
      </w:r>
      <w:r>
        <w:t xml:space="preserve">نظام المنافسات والمشتريات الحكومية والذي ينظم هذه العملية.</w:t>
      </w:r>
    </w:p>
    <w:p>
      <w:pPr>
        <w:pStyle w:val="FirstParagraph"/>
      </w:pPr>
      <w:r>
        <w:rPr>
          <w:b/>
          <w:bCs/>
        </w:rPr>
        <w:t xml:space="preserve">تعريف عن المنافسة:</w:t>
      </w:r>
    </w:p>
    <w:p>
      <w:pPr>
        <w:pStyle w:val="BodyText"/>
      </w:pPr>
      <w:r>
        <w:t xml:space="preserve">تهدف هذه المنافسة إلى بناء عشر مدارس جديدة في مختلف أنحاء المملكة العربية السعودية، بحيث يتم تقديمها ضمن ميزانية محددة مقدارها عشرة ملايين ريال سعودي. يتطلب المشروع العمل على تصميم وبناء المدارس وفقًا للمعايير القياسية وأفضل ممارسات البناء، مع التركيز على الاستدامة والكفاءة ومواكبة الاحتياجات التعليمية. الهدف من هذا المشروع هو تحسين البنية التحتية التعليمية في المملكة، وتعزيز فرص التعليم الجيد لجميع الطلاب في كافة المناطق.</w:t>
      </w:r>
    </w:p>
    <w:p>
      <w:pPr>
        <w:pStyle w:val="BodyText"/>
      </w:pPr>
      <w:r>
        <w:t xml:space="preserve">من المتوقع أن يشمل نطاق المشروع جميع الجوانب المتعلقة بإنشاء المدارس، بما في ذلك التخطيط، والهندسة، والتنفيذ، والمتابعة لضمان تحقيق الأهداف المرجوة ورفع مستوى التعليم في البلاد.</w:t>
      </w:r>
    </w:p>
    <w:p>
      <w:pPr>
        <w:pStyle w:val="BodyText"/>
      </w:pPr>
      <w:r>
        <w:rPr>
          <w:b/>
          <w:bCs/>
        </w:rPr>
        <w:t xml:space="preserve">القسم الثاني: مواصفات المشروع</w:t>
      </w:r>
    </w:p>
    <w:p>
      <w:pPr>
        <w:pStyle w:val="BodyText"/>
      </w:pPr>
      <w:r>
        <w:rPr>
          <w:b/>
          <w:bCs/>
        </w:rPr>
        <w:t xml:space="preserve">نطاق العمل:</w:t>
      </w:r>
    </w:p>
    <w:p>
      <w:pPr>
        <w:pStyle w:val="BodyText"/>
      </w:pPr>
      <w:r>
        <w:t xml:space="preserve">يتضمن المشروع إنشاء عشر مدارس جديدة موزعة في مختلف مناطق المملكة العربية السعودية، وفقًا للنقاط التالية:</w:t>
      </w:r>
    </w:p>
    <w:p>
      <w:pPr>
        <w:pStyle w:val="BodyText"/>
      </w:pPr>
      <w:r>
        <w:rPr>
          <w:b/>
          <w:bCs/>
        </w:rPr>
        <w:t xml:space="preserve">المواقع:</w:t>
      </w:r>
      <w:r>
        <w:t xml:space="preserve"> </w:t>
      </w:r>
      <w:r>
        <w:t xml:space="preserve">- يتم تحديد المواقع الجغرافية بناءً على الاحتياجات التعليمية في كل منطقة، ويفضل أن تشمل المناطق النائية والريفية لضمان توفير التعليم الجيد لكافة الفئات السكانية.</w:t>
      </w:r>
      <w:r>
        <w:t xml:space="preserve"> </w:t>
      </w:r>
      <w:r>
        <w:t xml:space="preserve">- ستحظى كل مدرسة بمساحة كافية لبناء المباني التعليمية والإدارية، مع الأخذ بعين الاعتبار إمكانية التوسع في المستقبل.</w:t>
      </w:r>
    </w:p>
    <w:p>
      <w:pPr>
        <w:pStyle w:val="BodyText"/>
      </w:pPr>
      <w:r>
        <w:rPr>
          <w:b/>
          <w:bCs/>
        </w:rPr>
        <w:t xml:space="preserve">المساحات:</w:t>
      </w:r>
      <w:r>
        <w:t xml:space="preserve"> </w:t>
      </w:r>
      <w:r>
        <w:t xml:space="preserve">- يجب أن تتضمن كل مدرسة المساحة الكافية لتلبية احتياجات التعليم، مثل الفصول الدراسية، مختبرات العلوم، المكتبات، القاعات متعددة الاستخدام، والمرافق الرياضية.</w:t>
      </w:r>
      <w:r>
        <w:t xml:space="preserve"> </w:t>
      </w:r>
      <w:r>
        <w:t xml:space="preserve">- يُشترط أن تكون المساحة الإجمالية لكل مدرسة لا تقل عن 2000 متر مربع، بما يتضمن المرافق الخارجية مثل ساحات اللعب ومواقف السيارات.</w:t>
      </w:r>
    </w:p>
    <w:p>
      <w:pPr>
        <w:pStyle w:val="BodyText"/>
      </w:pPr>
      <w:r>
        <w:rPr>
          <w:b/>
          <w:bCs/>
        </w:rPr>
        <w:t xml:space="preserve">المتطلبات الفنية:</w:t>
      </w:r>
      <w:r>
        <w:t xml:space="preserve"> </w:t>
      </w:r>
      <w:r>
        <w:t xml:space="preserve">- يجب أن تتوافق التصاميم مع المعايير الفنية المعتمدة من وزارة التعليم والجهات المعنية، مع التركيز على المعايير الخاصة بالسلامة والأمان.</w:t>
      </w:r>
      <w:r>
        <w:t xml:space="preserve"> </w:t>
      </w:r>
      <w:r>
        <w:t xml:space="preserve">- يجب أن تتضمن المرافق الحديثة المتطلبات الأساسية مثل التهوية الجيدة، الإضاءة الكافية، وتوافر خدمات المياه والصرف الصحي.</w:t>
      </w:r>
      <w:r>
        <w:t xml:space="preserve"> </w:t>
      </w:r>
      <w:r>
        <w:t xml:space="preserve">- يُشترط أن يتم استخدام مواد بناء ذات جودة عالية وصديقة للبيئة، مع التركيز على الاستدامة وكفاءة الطاقة.</w:t>
      </w:r>
    </w:p>
    <w:p>
      <w:pPr>
        <w:pStyle w:val="BodyText"/>
      </w:pPr>
      <w:r>
        <w:rPr>
          <w:b/>
          <w:bCs/>
        </w:rPr>
        <w:t xml:space="preserve">الجدول الزمني:</w:t>
      </w:r>
      <w:r>
        <w:t xml:space="preserve"> </w:t>
      </w:r>
      <w:r>
        <w:t xml:space="preserve">- يجب تحديد الجدول الزمني لكل مرحلة من مراحل المشروع، بدءًا من مرحلة التصميم وصولًا إلى التنفيذ النهائي، مع مراعاة تواريخ الإنجاز وموعد بدء العملية التعليمية.</w:t>
      </w:r>
    </w:p>
    <w:p>
      <w:pPr>
        <w:pStyle w:val="BodyText"/>
      </w:pPr>
      <w:r>
        <w:rPr>
          <w:b/>
          <w:bCs/>
        </w:rPr>
        <w:t xml:space="preserve">معايير الجودة:</w:t>
      </w:r>
      <w:r>
        <w:t xml:space="preserve"> </w:t>
      </w:r>
      <w:r>
        <w:t xml:space="preserve">- يجب وضع معايير جودة دقيقة لكل مرحلة من مراحل البناء، وطرق التفتيش المتبعة لضمان تحقيق تلك المعايير.</w:t>
      </w:r>
    </w:p>
    <w:p>
      <w:pPr>
        <w:pStyle w:val="BodyText"/>
      </w:pPr>
      <w:r>
        <w:t xml:space="preserve">يتطلب الالتزام بمواصفات المشروع، تقديم خطط تفصيلية للمنافسين توضح كيفية تلبية جميع الجوانب المذكورة لضمان تحقيق الهدف المنشود من إنشاء هذه المدارس.</w:t>
      </w:r>
    </w:p>
    <w:p>
      <w:pPr>
        <w:pStyle w:val="BodyText"/>
      </w:pPr>
      <w:r>
        <w:rPr>
          <w:b/>
          <w:bCs/>
        </w:rPr>
        <w:t xml:space="preserve">القسم الثالث: الشروط المالية</w:t>
      </w:r>
    </w:p>
    <w:p>
      <w:pPr>
        <w:pStyle w:val="BodyText"/>
      </w:pPr>
      <w:r>
        <w:rPr>
          <w:b/>
          <w:bCs/>
        </w:rPr>
        <w:t xml:space="preserve">ميزانية المشروع:</w:t>
      </w:r>
    </w:p>
    <w:p>
      <w:pPr>
        <w:pStyle w:val="BodyText"/>
      </w:pPr>
      <w:r>
        <w:t xml:space="preserve">تُحدد الميزانية المخصصة لمشروع بناء المدارس بمبلغ إجمالي يصل إلى عشرة ملايين ريال سعودي. يتعين على المتنافسين تقديم عروض مالية تتماشى مع هذه الميزانية مع مراعاة توزيعها على المدارس العشر المقترحة.</w:t>
      </w:r>
    </w:p>
    <w:p>
      <w:pPr>
        <w:pStyle w:val="BodyText"/>
      </w:pPr>
      <w:r>
        <w:rPr>
          <w:b/>
          <w:bCs/>
        </w:rPr>
        <w:t xml:space="preserve">المبلغ الإجمالي المسموح به لكل مدرسة:</w:t>
      </w:r>
    </w:p>
    <w:p>
      <w:pPr>
        <w:pStyle w:val="BodyText"/>
      </w:pPr>
      <w:r>
        <w:t xml:space="preserve">سيكون الحد الأقصى للمبلغ المسموح به لبناء كل مدرسة هو مليون ريال سعودي. يشمل هذا المبلغ جميع المصروفات المتعلقة بإنشاء المدرسة، بما في ذلك:</w:t>
      </w:r>
    </w:p>
    <w:p>
      <w:pPr>
        <w:pStyle w:val="Compact"/>
        <w:numPr>
          <w:ilvl w:val="0"/>
          <w:numId w:val="1002"/>
        </w:numPr>
      </w:pPr>
      <w:r>
        <w:t xml:space="preserve">تكاليف التصميم والهندسة.</w:t>
      </w:r>
    </w:p>
    <w:p>
      <w:pPr>
        <w:pStyle w:val="Compact"/>
        <w:numPr>
          <w:ilvl w:val="0"/>
          <w:numId w:val="1002"/>
        </w:numPr>
      </w:pPr>
      <w:r>
        <w:t xml:space="preserve">تكاليف مواد البناء والتشطيب.</w:t>
      </w:r>
    </w:p>
    <w:p>
      <w:pPr>
        <w:pStyle w:val="Compact"/>
        <w:numPr>
          <w:ilvl w:val="0"/>
          <w:numId w:val="1002"/>
        </w:numPr>
      </w:pPr>
      <w:r>
        <w:t xml:space="preserve">تكاليف التجهيزات الفنية والمعدات.</w:t>
      </w:r>
    </w:p>
    <w:p>
      <w:pPr>
        <w:pStyle w:val="Compact"/>
        <w:numPr>
          <w:ilvl w:val="0"/>
          <w:numId w:val="1002"/>
        </w:numPr>
      </w:pPr>
      <w:r>
        <w:t xml:space="preserve">تكاليف العمالة والأيدي العاملة.</w:t>
      </w:r>
    </w:p>
    <w:p>
      <w:pPr>
        <w:pStyle w:val="Compact"/>
        <w:numPr>
          <w:ilvl w:val="0"/>
          <w:numId w:val="1002"/>
        </w:numPr>
      </w:pPr>
      <w:r>
        <w:t xml:space="preserve">أي تكاليف إضافية ترتبط بالمشروع.</w:t>
      </w:r>
    </w:p>
    <w:p>
      <w:pPr>
        <w:pStyle w:val="FirstParagraph"/>
      </w:pPr>
      <w:r>
        <w:rPr>
          <w:b/>
          <w:bCs/>
        </w:rPr>
        <w:t xml:space="preserve">متطلبات تقديم العروض المالية:</w:t>
      </w:r>
    </w:p>
    <w:p>
      <w:pPr>
        <w:pStyle w:val="BodyText"/>
      </w:pPr>
      <w:r>
        <w:t xml:space="preserve">يجب على المتنافسين تقديم تفاصيل مالية شاملة تتضمن:</w:t>
      </w:r>
    </w:p>
    <w:p>
      <w:pPr>
        <w:pStyle w:val="Compact"/>
        <w:numPr>
          <w:ilvl w:val="0"/>
          <w:numId w:val="1003"/>
        </w:numPr>
      </w:pPr>
      <w:r>
        <w:t xml:space="preserve">التحليل التفصيلي للتكاليف لكل مدرسة.</w:t>
      </w:r>
    </w:p>
    <w:p>
      <w:pPr>
        <w:pStyle w:val="Compact"/>
        <w:numPr>
          <w:ilvl w:val="0"/>
          <w:numId w:val="1003"/>
        </w:numPr>
      </w:pPr>
      <w:r>
        <w:t xml:space="preserve">تقسيم النفقات إلى فئات محددة، مثل مواد البناء، الأجور، والتجهيزات.</w:t>
      </w:r>
    </w:p>
    <w:p>
      <w:pPr>
        <w:pStyle w:val="Compact"/>
        <w:numPr>
          <w:ilvl w:val="0"/>
          <w:numId w:val="1003"/>
        </w:numPr>
      </w:pPr>
      <w:r>
        <w:t xml:space="preserve">تحديد الجدول الزمني للدفع، بما يتوافق مع مراحل تنفيذ المشروع.</w:t>
      </w:r>
    </w:p>
    <w:p>
      <w:pPr>
        <w:pStyle w:val="FirstParagraph"/>
      </w:pPr>
      <w:r>
        <w:t xml:space="preserve">يُشترط أن يلتزم جميع المتنافسين بالمعايير المالية المقررة وأن يقدموا ضمانًا ماليًا يضمن تنفيذ المشروع وفقًا للعقود الموقعة. يجب أن تُعكس العروض المالية أعلى مستويات الكفاءة والتنافسية بهدف تحقيق الفائدة القصوى للمشروع وللجهات المعنية.</w:t>
      </w:r>
    </w:p>
    <w:p>
      <w:pPr>
        <w:pStyle w:val="BodyText"/>
      </w:pPr>
      <w:r>
        <w:t xml:space="preserve">يتعين على المتنافسين التأكد من التوافق مع جميع القوانين واللوائح الخاصة بالمشتريات الحكومية في المملكة العربية السعودية أثناء تقديم العروض المالية.</w:t>
      </w:r>
    </w:p>
    <w:p>
      <w:pPr>
        <w:pStyle w:val="BodyText"/>
      </w:pPr>
      <w:r>
        <w:rPr>
          <w:b/>
          <w:bCs/>
        </w:rPr>
        <w:t xml:space="preserve">القسم الرابع: الجدول الزمني</w:t>
      </w:r>
    </w:p>
    <w:p>
      <w:pPr>
        <w:pStyle w:val="BodyText"/>
      </w:pPr>
      <w:r>
        <w:rPr>
          <w:b/>
          <w:bCs/>
        </w:rPr>
        <w:t xml:space="preserve">مدة المشروع:</w:t>
      </w:r>
    </w:p>
    <w:p>
      <w:pPr>
        <w:pStyle w:val="BodyText"/>
      </w:pPr>
      <w:r>
        <w:t xml:space="preserve">يتضمن الجدول الزمني المتوقع لمشروع بناء المدارس الفترة اللازمة لإنشاء كل مدرسة، بالإضافة إلى الوقت المحدد لإنجاز المشروع بالكامل. يتم تنظيم الجدول الزمني كما يلي:</w:t>
      </w:r>
    </w:p>
    <w:p>
      <w:pPr>
        <w:pStyle w:val="BodyText"/>
      </w:pPr>
      <w:r>
        <w:rPr>
          <w:b/>
          <w:bCs/>
        </w:rPr>
        <w:t xml:space="preserve">الجدول الزمني لبناء كل مدرسة:</w:t>
      </w:r>
    </w:p>
    <w:tbl>
      <w:tblPr>
        <w:tblStyle w:val="Table"/>
        <w:tblW w:type="pct" w:w="5000"/>
        <w:tblLayout w:type="fixed"/>
        <w:tblLook w:firstRow="1" w:lastRow="0" w:firstColumn="0" w:lastColumn="0" w:noHBand="0" w:noVBand="0" w:val="002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2046"/>
        <w:gridCol w:w="1423"/>
        <w:gridCol w:w="2046"/>
        <w:gridCol w:w="2402"/>
      </w:tblGrid>
      <w:tr>
        <w:trPr>
          <w:tblHeader w:val="on"/>
        </w:trPr>
        <w:tc>
          <w:tcPr/>
          <w:p>
            <w:pPr>
              <w:pStyle w:val="Compact"/>
            </w:pPr>
            <w:r>
              <w:t xml:space="preserve">المرحلة</w:t>
            </w:r>
          </w:p>
        </w:tc>
        <w:tc>
          <w:tcPr/>
          <w:p>
            <w:pPr>
              <w:pStyle w:val="Compact"/>
            </w:pPr>
            <w:r>
              <w:t xml:space="preserve">المدة المتوقعة</w:t>
            </w:r>
          </w:p>
        </w:tc>
        <w:tc>
          <w:tcPr/>
          <w:p>
            <w:pPr>
              <w:pStyle w:val="Compact"/>
            </w:pPr>
            <w:r>
              <w:t xml:space="preserve">التاريخ المتوقع للبدء</w:t>
            </w:r>
          </w:p>
        </w:tc>
        <w:tc>
          <w:tcPr/>
          <w:p>
            <w:pPr>
              <w:pStyle w:val="Compact"/>
            </w:pPr>
            <w:r>
              <w:t xml:space="preserve">التاريخ المتوقع للإنتهاء</w:t>
            </w:r>
          </w:p>
        </w:tc>
      </w:tr>
      <w:tr>
        <w:tc>
          <w:tcPr/>
          <w:p>
            <w:pPr>
              <w:pStyle w:val="Compact"/>
            </w:pPr>
            <w:r>
              <w:t xml:space="preserve">مرحلة التصميم</w:t>
            </w:r>
          </w:p>
        </w:tc>
        <w:tc>
          <w:tcPr/>
          <w:p>
            <w:pPr>
              <w:pStyle w:val="Compact"/>
            </w:pPr>
          </w:p>
        </w:tc>
        <w:tc>
          <w:tcPr/>
          <w:p>
            <w:pPr>
              <w:pStyle w:val="Compact"/>
            </w:pPr>
          </w:p>
        </w:tc>
        <w:tc>
          <w:tcPr/>
          <w:p>
            <w:pPr>
              <w:pStyle w:val="Compact"/>
            </w:pPr>
          </w:p>
        </w:tc>
      </w:tr>
      <w:tr>
        <w:tc>
          <w:tcPr/>
          <w:p>
            <w:pPr>
              <w:pStyle w:val="Compact"/>
            </w:pPr>
            <w:r>
              <w:t xml:space="preserve">مرحلة الحصول على التصاريح</w:t>
            </w:r>
          </w:p>
        </w:tc>
        <w:tc>
          <w:tcPr/>
          <w:p>
            <w:pPr>
              <w:pStyle w:val="Compact"/>
            </w:pPr>
          </w:p>
        </w:tc>
        <w:tc>
          <w:tcPr/>
          <w:p>
            <w:pPr>
              <w:pStyle w:val="Compact"/>
            </w:pPr>
          </w:p>
        </w:tc>
        <w:tc>
          <w:tcPr/>
          <w:p>
            <w:pPr>
              <w:pStyle w:val="Compact"/>
            </w:pPr>
          </w:p>
        </w:tc>
      </w:tr>
      <w:tr>
        <w:tc>
          <w:tcPr/>
          <w:p>
            <w:pPr>
              <w:pStyle w:val="Compact"/>
            </w:pPr>
            <w:r>
              <w:t xml:space="preserve">مرحلة المقاولة</w:t>
            </w:r>
          </w:p>
        </w:tc>
        <w:tc>
          <w:tcPr/>
          <w:p>
            <w:pPr>
              <w:pStyle w:val="Compact"/>
            </w:pPr>
          </w:p>
        </w:tc>
        <w:tc>
          <w:tcPr/>
          <w:p>
            <w:pPr>
              <w:pStyle w:val="Compact"/>
            </w:pPr>
          </w:p>
        </w:tc>
        <w:tc>
          <w:tcPr/>
          <w:p>
            <w:pPr>
              <w:pStyle w:val="Compact"/>
            </w:pPr>
          </w:p>
        </w:tc>
      </w:tr>
      <w:tr>
        <w:tc>
          <w:tcPr/>
          <w:p>
            <w:pPr>
              <w:pStyle w:val="Compact"/>
            </w:pPr>
            <w:r>
              <w:t xml:space="preserve">مرحلة البناء</w:t>
            </w:r>
          </w:p>
        </w:tc>
        <w:tc>
          <w:tcPr/>
          <w:p>
            <w:pPr>
              <w:pStyle w:val="Compact"/>
            </w:pPr>
          </w:p>
        </w:tc>
        <w:tc>
          <w:tcPr/>
          <w:p>
            <w:pPr>
              <w:pStyle w:val="Compact"/>
            </w:pPr>
          </w:p>
        </w:tc>
        <w:tc>
          <w:tcPr/>
          <w:p>
            <w:pPr>
              <w:pStyle w:val="Compact"/>
            </w:pPr>
          </w:p>
        </w:tc>
      </w:tr>
      <w:tr>
        <w:tc>
          <w:tcPr/>
          <w:p>
            <w:pPr>
              <w:pStyle w:val="Compact"/>
            </w:pPr>
            <w:r>
              <w:t xml:space="preserve">مرحلة التشطيبات النهائية</w:t>
            </w:r>
          </w:p>
        </w:tc>
        <w:tc>
          <w:tcPr/>
          <w:p>
            <w:pPr>
              <w:pStyle w:val="Compact"/>
            </w:pPr>
          </w:p>
        </w:tc>
        <w:tc>
          <w:tcPr/>
          <w:p>
            <w:pPr>
              <w:pStyle w:val="Compact"/>
            </w:pPr>
          </w:p>
        </w:tc>
        <w:tc>
          <w:tcPr/>
          <w:p>
            <w:pPr>
              <w:pStyle w:val="Compact"/>
            </w:pPr>
          </w:p>
        </w:tc>
      </w:tr>
      <w:tr>
        <w:tc>
          <w:tcPr/>
          <w:p>
            <w:pPr>
              <w:pStyle w:val="Compact"/>
            </w:pPr>
            <w:r>
              <w:t xml:space="preserve">مرحلة التسليم</w:t>
            </w:r>
          </w:p>
        </w:tc>
        <w:tc>
          <w:tcPr/>
          <w:p>
            <w:pPr>
              <w:pStyle w:val="Compact"/>
            </w:pPr>
          </w:p>
        </w:tc>
        <w:tc>
          <w:tcPr/>
          <w:p>
            <w:pPr>
              <w:pStyle w:val="Compact"/>
            </w:pPr>
          </w:p>
        </w:tc>
        <w:tc>
          <w:tcPr/>
          <w:p>
            <w:pPr>
              <w:pStyle w:val="Compact"/>
            </w:pPr>
          </w:p>
        </w:tc>
      </w:tr>
    </w:tbl>
    <w:p>
      <w:pPr>
        <w:pStyle w:val="BodyText"/>
      </w:pPr>
      <w:r>
        <w:rPr>
          <w:b/>
          <w:bCs/>
        </w:rPr>
        <w:t xml:space="preserve">الوقت المحدد لإنجاز المشروع بالكامل:</w:t>
      </w:r>
    </w:p>
    <w:p>
      <w:pPr>
        <w:pStyle w:val="BodyText"/>
      </w:pPr>
      <w:r>
        <w:t xml:space="preserve">يجب تقديم الجدول الزمني الكامل الذي يتضمن المراحل التالية:</w:t>
      </w:r>
    </w:p>
    <w:p>
      <w:pPr>
        <w:pStyle w:val="Compact"/>
        <w:numPr>
          <w:ilvl w:val="0"/>
          <w:numId w:val="1004"/>
        </w:numPr>
      </w:pPr>
      <w:r>
        <w:rPr>
          <w:b/>
          <w:bCs/>
        </w:rPr>
        <w:t xml:space="preserve">البداية:</w:t>
      </w:r>
      <w:r>
        <w:t xml:space="preserve"> </w:t>
      </w:r>
      <w:r>
        <w:t xml:space="preserve">التاريخ المقرر لبدء المشروع.</w:t>
      </w:r>
    </w:p>
    <w:p>
      <w:pPr>
        <w:pStyle w:val="Compact"/>
        <w:numPr>
          <w:ilvl w:val="0"/>
          <w:numId w:val="1004"/>
        </w:numPr>
      </w:pPr>
      <w:r>
        <w:rPr>
          <w:b/>
          <w:bCs/>
        </w:rPr>
        <w:t xml:space="preserve">التقييم:</w:t>
      </w:r>
      <w:r>
        <w:t xml:space="preserve"> </w:t>
      </w:r>
      <w:r>
        <w:t xml:space="preserve">توقيتات التقييم والمراجعة خلال المشروع.</w:t>
      </w:r>
    </w:p>
    <w:p>
      <w:pPr>
        <w:pStyle w:val="Compact"/>
        <w:numPr>
          <w:ilvl w:val="0"/>
          <w:numId w:val="1004"/>
        </w:numPr>
      </w:pPr>
      <w:r>
        <w:rPr>
          <w:b/>
          <w:bCs/>
        </w:rPr>
        <w:t xml:space="preserve">الانتهاء:</w:t>
      </w:r>
      <w:r>
        <w:t xml:space="preserve"> </w:t>
      </w:r>
      <w:r>
        <w:t xml:space="preserve">التاريخ المستهدف لإنجاز جميع المدارس العشر.</w:t>
      </w:r>
    </w:p>
    <w:p>
      <w:pPr>
        <w:pStyle w:val="FirstParagraph"/>
      </w:pPr>
      <w:r>
        <w:t xml:space="preserve">يجب على المتنافسين وضع خطة زمنية مفصلة تأخذ بعين الاعتبار جميع العوامل التي يمكن أن تؤثر على جدول البناء، مثل الظروف الجوية، والتوريدات، وغيرها، مع ضرورة الإشارة إلى آليات التعامل مع أي تأخيرات محتملة قد تطرأ على سير المشروع.</w:t>
      </w:r>
    </w:p>
    <w:p>
      <w:pPr>
        <w:pStyle w:val="BodyText"/>
      </w:pPr>
      <w:r>
        <w:t xml:space="preserve">يتعين على المتنافسين الالتزام بالتواريخ المحددة في الجدول الزمني لضمان تحقيق الأهداف وتعزيز جودة التنفيذ، كما يُشترط على جميع المتنافسين تقديم تقارير دورية عن تقدم المشروع وفقًا للجدول الزمني المتفق عليه.</w:t>
      </w:r>
    </w:p>
    <w:p>
      <w:pPr>
        <w:pStyle w:val="BodyText"/>
      </w:pPr>
      <w:r>
        <w:rPr>
          <w:b/>
          <w:bCs/>
        </w:rPr>
        <w:t xml:space="preserve">القسم الخامس: المتطلبات الفنية</w:t>
      </w:r>
    </w:p>
    <w:p>
      <w:pPr>
        <w:pStyle w:val="BodyText"/>
      </w:pPr>
      <w:r>
        <w:rPr>
          <w:b/>
          <w:bCs/>
        </w:rPr>
        <w:t xml:space="preserve">التصميم المعماري:</w:t>
      </w:r>
    </w:p>
    <w:p>
      <w:pPr>
        <w:pStyle w:val="BodyText"/>
      </w:pPr>
      <w:r>
        <w:t xml:space="preserve">يجب أن يشتمل التصميم المعماري لكل مدرسة على المواصفات الفنية التالية:</w:t>
      </w:r>
    </w:p>
    <w:p>
      <w:pPr>
        <w:pStyle w:val="BodyText"/>
      </w:pPr>
      <w:r>
        <w:rPr>
          <w:b/>
          <w:bCs/>
        </w:rPr>
        <w:t xml:space="preserve">المتطلبات العامة:</w:t>
      </w:r>
      <w:r>
        <w:t xml:space="preserve"> </w:t>
      </w:r>
      <w:r>
        <w:t xml:space="preserve">- يجب أن يتماشى التصميم مع المعايير الوطنية والدولية في مجال البناء والتشييد، مع التركيز على جماليات المعمار واستخدام المساحات بشكل فعال.</w:t>
      </w:r>
      <w:r>
        <w:t xml:space="preserve"> </w:t>
      </w:r>
      <w:r>
        <w:t xml:space="preserve">- يتعين أن يراعي التصميم الهوية الثقافية والتاريخية للمملكة، مع التأكيد على إحداث توازن بين الحداثة والتقليدية.</w:t>
      </w:r>
    </w:p>
    <w:p>
      <w:pPr>
        <w:pStyle w:val="BodyText"/>
      </w:pPr>
      <w:r>
        <w:rPr>
          <w:b/>
          <w:bCs/>
        </w:rPr>
        <w:t xml:space="preserve">تصميم الفصول الدراسية:</w:t>
      </w:r>
      <w:r>
        <w:t xml:space="preserve"> </w:t>
      </w:r>
      <w:r>
        <w:t xml:space="preserve">- يجب أن تكون الفصول الدراسية واسعًة ومريحة، حيث يُفضل أن تتسع لأعداد الطلاب المقترحة لكل شعبة.</w:t>
      </w:r>
      <w:r>
        <w:t xml:space="preserve"> </w:t>
      </w:r>
      <w:r>
        <w:t xml:space="preserve">- يجب أن تُجهز الفصول بوسائل تعليمية حديثة مثل الشاشات الذكية والأثاث القابلة للتعديل.</w:t>
      </w:r>
      <w:r>
        <w:t xml:space="preserve"> </w:t>
      </w:r>
      <w:r>
        <w:t xml:space="preserve">- لا يقل ارتفاع السقف عن 3.5 متر لتحقيق توازن جيد في التهوية والإضاءة الطبيعية.</w:t>
      </w:r>
    </w:p>
    <w:p>
      <w:pPr>
        <w:pStyle w:val="BodyText"/>
      </w:pPr>
      <w:r>
        <w:rPr>
          <w:b/>
          <w:bCs/>
        </w:rPr>
        <w:t xml:space="preserve">المرافق الإضافية:</w:t>
      </w:r>
      <w:r>
        <w:t xml:space="preserve"> </w:t>
      </w:r>
      <w:r>
        <w:t xml:space="preserve">- يجب أن تشمل المدارس مرافق مثل المكتبات، مختبرات العلوم، وقاعات متعددة الاستخدام، مع تخصيص مساحة كافية لكل منها وفقًا للمعايير المعمول بها.</w:t>
      </w:r>
      <w:r>
        <w:t xml:space="preserve"> </w:t>
      </w:r>
      <w:r>
        <w:t xml:space="preserve">- يُفضل وجود مساحات خارجية للساحات والحدائق تساعد في توفير بيئة تعليمية صحية ومريحة.</w:t>
      </w:r>
    </w:p>
    <w:p>
      <w:pPr>
        <w:pStyle w:val="BodyText"/>
      </w:pPr>
      <w:r>
        <w:rPr>
          <w:b/>
          <w:bCs/>
        </w:rPr>
        <w:t xml:space="preserve">السلامة والأمان:</w:t>
      </w:r>
      <w:r>
        <w:t xml:space="preserve"> </w:t>
      </w:r>
      <w:r>
        <w:t xml:space="preserve">- يجب أن يتضمن التصميم تدابير السلامة المتقدمة، مثل أنظمة الإنذار المبكر، ومخارج الطوارئ، ووسائل الإطفاء، مع الالتزام بكافة الأنظمة المعمول بها في مجال السلامة العامة.</w:t>
      </w:r>
      <w:r>
        <w:t xml:space="preserve"> </w:t>
      </w:r>
      <w:r>
        <w:t xml:space="preserve">- التحليل الهندسي للمناطق ذات المخاطر الطبيعية، مثل الزلازل، لضمان تصميم يستوعب هذه المخاطر.</w:t>
      </w:r>
    </w:p>
    <w:p>
      <w:pPr>
        <w:pStyle w:val="BodyText"/>
      </w:pPr>
      <w:r>
        <w:rPr>
          <w:b/>
          <w:bCs/>
        </w:rPr>
        <w:t xml:space="preserve">أنظمة الطاقة والمرافق:</w:t>
      </w:r>
      <w:r>
        <w:t xml:space="preserve"> </w:t>
      </w:r>
      <w:r>
        <w:t xml:space="preserve">- يجب أن يتضمن التصميم استخدام أنظمة الطاقة المستدامة، مثل الألواح الشمسية، مع التركيز على كفاءة الطاقة.</w:t>
      </w:r>
      <w:r>
        <w:t xml:space="preserve"> </w:t>
      </w:r>
      <w:r>
        <w:t xml:space="preserve">- توفر مجموعة من المرافق، مثل خدمات المياه والصرف الصحي، تتماشى مع المتطلبات الصحية المعتمدة.</w:t>
      </w:r>
    </w:p>
    <w:p>
      <w:pPr>
        <w:pStyle w:val="BodyText"/>
      </w:pPr>
      <w:r>
        <w:rPr>
          <w:b/>
          <w:bCs/>
        </w:rPr>
        <w:t xml:space="preserve">التشطيبات الداخلية:</w:t>
      </w:r>
      <w:r>
        <w:t xml:space="preserve"> </w:t>
      </w:r>
      <w:r>
        <w:t xml:space="preserve">- يُشترط استخدام مواد صديقة للبيئة وعالية الجودة في التشطيبات الداخلية، بما في ذلك الدهانات والأرضيات.</w:t>
      </w:r>
      <w:r>
        <w:t xml:space="preserve"> </w:t>
      </w:r>
      <w:r>
        <w:t xml:space="preserve">- تأمين بيئة تعليمية مريحة من خلال اختيار الألوان والإضاءة المناسبة التي تعزز من التركيز والتحصيل العلمي للطلاب.</w:t>
      </w:r>
    </w:p>
    <w:p>
      <w:pPr>
        <w:pStyle w:val="BodyText"/>
      </w:pPr>
      <w:r>
        <w:rPr>
          <w:b/>
          <w:bCs/>
        </w:rPr>
        <w:t xml:space="preserve">استراتيجيات الاستدامة:</w:t>
      </w:r>
      <w:r>
        <w:t xml:space="preserve"> </w:t>
      </w:r>
      <w:r>
        <w:t xml:space="preserve">- يجب أن يُعتمد في التصميم على استراتيجيات الاستدامة ضمن عناصر مختلفة كاستخدام مواد بناء قابلة لإعادة التدوير وأبعاد تصميمية تقلل من استهلاك الموارد.</w:t>
      </w:r>
    </w:p>
    <w:p>
      <w:pPr>
        <w:pStyle w:val="BodyText"/>
      </w:pPr>
      <w:r>
        <w:t xml:space="preserve">يتعين على المتنافسين تقديم مخططات تصميم تفصيلية توضح كيفية تلبية هذه المواصفات من خلال رؤية إبداعية تنسجم مع أهداف المشروع في تحسين بيئة التعليم في المملكة.</w:t>
      </w:r>
    </w:p>
    <w:p>
      <w:pPr>
        <w:pStyle w:val="BodyText"/>
      </w:pPr>
      <w:r>
        <w:rPr>
          <w:b/>
          <w:bCs/>
        </w:rPr>
        <w:t xml:space="preserve">القسم السادس: الشروط القانونية</w:t>
      </w:r>
    </w:p>
    <w:p>
      <w:pPr>
        <w:pStyle w:val="BodyText"/>
      </w:pPr>
      <w:r>
        <w:rPr>
          <w:b/>
          <w:bCs/>
        </w:rPr>
        <w:t xml:space="preserve">إجراءات تقديم العروض:</w:t>
      </w:r>
    </w:p>
    <w:p>
      <w:pPr>
        <w:pStyle w:val="BodyText"/>
      </w:pPr>
      <w:r>
        <w:t xml:space="preserve">تعتبر إجراءات تقديم العروض جزءًا أساسيًا من عملية المنافسة، ويجب على المتنافسين الالتزام باللوائح والقوانين المعمول بها في المملكة العربية السعودية. يتضمن ذلك مجموعة من الخطوات والإجراءات التي تضمن نزاهة وشفافية عملية تقديم العروض، وتشمل ما يلي:</w:t>
      </w:r>
    </w:p>
    <w:p>
      <w:pPr>
        <w:pStyle w:val="BodyText"/>
      </w:pPr>
      <w:r>
        <w:rPr>
          <w:b/>
          <w:bCs/>
        </w:rPr>
        <w:t xml:space="preserve">تقديم العروض:</w:t>
      </w:r>
      <w:r>
        <w:t xml:space="preserve"> </w:t>
      </w:r>
      <w:r>
        <w:t xml:space="preserve">- على المتنافسين أن يقوموا بتقديم عروضهم في المواعيد المحددة وبالطريقة المنصوص عليها في وثيقة المناقصة، وذلك لتفادي استبعاد أي عرض نتيجة للتأخير أو عدم المطابقة.</w:t>
      </w:r>
      <w:r>
        <w:t xml:space="preserve"> </w:t>
      </w:r>
      <w:r>
        <w:t xml:space="preserve">- يجب تقديم العروض بشكل مركزي إلى الجهة الحكومية المعنية، بالإضافة إلى تقديم نسخة إلكترونية من العروض عبر البريد الإلكتروني المحدد في وثيقة المناقصة.</w:t>
      </w:r>
    </w:p>
    <w:p>
      <w:pPr>
        <w:pStyle w:val="BodyText"/>
      </w:pPr>
      <w:r>
        <w:rPr>
          <w:b/>
          <w:bCs/>
        </w:rPr>
        <w:t xml:space="preserve">تسليم الوثائق:</w:t>
      </w:r>
      <w:r>
        <w:t xml:space="preserve"> </w:t>
      </w:r>
      <w:r>
        <w:t xml:space="preserve">- يجب أن تتضمن العروض جميع الوثائق والمستندات المطلوبة، بما في ذلك الشهادات، السجلات المالية، والبيانات الفنية، مع الالتزام بتقديم مستندات صادرة بشكل رسمي.</w:t>
      </w:r>
      <w:r>
        <w:t xml:space="preserve"> </w:t>
      </w:r>
      <w:r>
        <w:t xml:space="preserve">- يجب أن تكون الوثائق مرتبة وفقًا للقوائم المقدمة في طلب تقديم العروض لكي تسهل عملية مراجعتها.</w:t>
      </w:r>
    </w:p>
    <w:p>
      <w:pPr>
        <w:pStyle w:val="BodyText"/>
      </w:pPr>
      <w:r>
        <w:rPr>
          <w:b/>
          <w:bCs/>
        </w:rPr>
        <w:t xml:space="preserve">حدود المسؤولية:</w:t>
      </w:r>
      <w:r>
        <w:t xml:space="preserve"> </w:t>
      </w:r>
      <w:r>
        <w:t xml:space="preserve">- يتعين على المتنافسين توضيح حدود مسؤوليتهم عند تقديم العروض، بما في ذلك الامتثال للمعايير القانونية في حال التأخير أو عدم التزامهم بالشروط الموضوعة في وثيقة المناقصة.</w:t>
      </w:r>
      <w:r>
        <w:t xml:space="preserve"> </w:t>
      </w:r>
      <w:r>
        <w:t xml:space="preserve">- يجب أن تحمل العروض إشعارات واضحة عن أي انحرافات عن الشروط المحددة، بما في ذلك المخاطر القانونية المحتملة.</w:t>
      </w:r>
    </w:p>
    <w:p>
      <w:pPr>
        <w:pStyle w:val="BodyText"/>
      </w:pPr>
      <w:r>
        <w:rPr>
          <w:b/>
          <w:bCs/>
        </w:rPr>
        <w:t xml:space="preserve">التقييم والمراجعة:</w:t>
      </w:r>
      <w:r>
        <w:t xml:space="preserve"> </w:t>
      </w:r>
      <w:r>
        <w:t xml:space="preserve">- ستقوم اللجنة المختصة بتقييم جميع العروض وفقًا لمعايير التقييم المحددة في الوثيقة، مع التركيز على الجودة والتكلفة الزمنية المدرجة في العروض.</w:t>
      </w:r>
      <w:r>
        <w:t xml:space="preserve"> </w:t>
      </w:r>
      <w:r>
        <w:t xml:space="preserve">- يتم إخطار المتنافسين بالنتائج النهائية، وبموجب ذلك يسمح لهم بتقديم أي ملاحظات بشأن عملية التقييم إذا احتاجوا لذلك.</w:t>
      </w:r>
    </w:p>
    <w:p>
      <w:pPr>
        <w:pStyle w:val="BodyText"/>
      </w:pPr>
      <w:r>
        <w:rPr>
          <w:b/>
          <w:bCs/>
        </w:rPr>
        <w:t xml:space="preserve">الإخلال بالشروط:</w:t>
      </w:r>
      <w:r>
        <w:t xml:space="preserve"> </w:t>
      </w:r>
      <w:r>
        <w:t xml:space="preserve">- في حالة عدم الامتثال والإخلال بأية شروط من الشروط القانونية، تحتفظ الجهة الحكومية بالحق في استبعاد العرض المطروح وعدم اعتباره.</w:t>
      </w:r>
      <w:r>
        <w:t xml:space="preserve"> </w:t>
      </w:r>
      <w:r>
        <w:t xml:space="preserve">- يتم تنبيه المتنافسين بأن أي تقديم معلومات مضللة أو مزيفة قد يعرضهم للعقوبات القانونية.</w:t>
      </w:r>
    </w:p>
    <w:p>
      <w:pPr>
        <w:pStyle w:val="BodyText"/>
      </w:pPr>
      <w:r>
        <w:rPr>
          <w:b/>
          <w:bCs/>
        </w:rPr>
        <w:t xml:space="preserve">الرغبة في المشاركة:</w:t>
      </w:r>
      <w:r>
        <w:t xml:space="preserve"> </w:t>
      </w:r>
      <w:r>
        <w:t xml:space="preserve">- يجب على المتنافسين إبداء رغبتهم في المشاركة بوضوح، مع تقديم معلومات تفصيلية عن كفاءتهم وقدرتهم على تنفيذ المشروع بشكل فعال.</w:t>
      </w:r>
      <w:r>
        <w:t xml:space="preserve"> </w:t>
      </w:r>
      <w:r>
        <w:t xml:space="preserve">- يتحتم عليهم الالتزام بجميع الأنظمة واللوائح المتعلقة بالمشتريات الحكومية، بما في ذلك الحصول على التراخيص اللازمة والامتثال للمعايير المحددة من قبل الجهات المختصة.</w:t>
      </w:r>
    </w:p>
    <w:p>
      <w:pPr>
        <w:pStyle w:val="BodyText"/>
      </w:pPr>
      <w:r>
        <w:t xml:space="preserve">يرجى من المتنافسين مراجعة الشروط القانونية المذكورة أعلاه بعمق والتأكد من فهم جميع المتطلبات والإجراءات قبل تقديم عروضهم لضمان تحقيق أهداف المشروع والامتثال التام للمعايير المعمول بها.</w:t>
      </w:r>
    </w:p>
    <w:p>
      <w:pPr>
        <w:pStyle w:val="BodyText"/>
      </w:pPr>
      <w:r>
        <w:rPr>
          <w:b/>
          <w:bCs/>
        </w:rPr>
        <w:t xml:space="preserve">القسم السابع: تحليل المخاطر</w:t>
      </w:r>
    </w:p>
    <w:p>
      <w:pPr>
        <w:pStyle w:val="BodyText"/>
      </w:pPr>
      <w:r>
        <w:rPr>
          <w:b/>
          <w:bCs/>
        </w:rPr>
        <w:t xml:space="preserve">تحديد المخاطر:</w:t>
      </w:r>
    </w:p>
    <w:p>
      <w:pPr>
        <w:pStyle w:val="BodyText"/>
      </w:pPr>
      <w:r>
        <w:t xml:space="preserve">يتطلب مشروع بناء المدارس تحليلًا دقيقًا للمخاطر المحتملة التي قد تؤثر على سير العمل وتحقيق الأهداف المرجوة. يمكن تصنيف المخاطر في عدة فئات، تشمل:</w:t>
      </w:r>
    </w:p>
    <w:p>
      <w:pPr>
        <w:pStyle w:val="BodyText"/>
      </w:pPr>
      <w:r>
        <w:rPr>
          <w:b/>
          <w:bCs/>
        </w:rPr>
        <w:t xml:space="preserve">1. المخاطر المتعلقة بالجدول الزمني:</w:t>
      </w:r>
      <w:r>
        <w:t xml:space="preserve"> </w:t>
      </w:r>
      <w:r>
        <w:t xml:space="preserve">-</w:t>
      </w:r>
      <w:r>
        <w:t xml:space="preserve"> </w:t>
      </w:r>
      <w:r>
        <w:rPr>
          <w:b/>
          <w:bCs/>
        </w:rPr>
        <w:t xml:space="preserve">تأخيرات في مراحل التنفيذ:</w:t>
      </w:r>
      <w:r>
        <w:t xml:space="preserve"> </w:t>
      </w:r>
      <w:r>
        <w:t xml:space="preserve">يمكن أن تنشأ تأخيرات بسبب الظروف الجوية، أو مشكلات في الحصول على التصاريح، أو نقص في المواد أو العمالة.</w:t>
      </w:r>
      <w:r>
        <w:t xml:space="preserve"> </w:t>
      </w:r>
      <w:r>
        <w:t xml:space="preserve">-</w:t>
      </w:r>
      <w:r>
        <w:t xml:space="preserve"> </w:t>
      </w:r>
      <w:r>
        <w:rPr>
          <w:b/>
          <w:bCs/>
        </w:rPr>
        <w:t xml:space="preserve">إدارة الوقت:</w:t>
      </w:r>
      <w:r>
        <w:t xml:space="preserve"> </w:t>
      </w:r>
      <w:r>
        <w:t xml:space="preserve">يتطلب المشروع تقويمًا زمنيًا محددًا ومرنًا، مع إمكانية إجراء تعديلات جديدة بناءً على المتغيرات.</w:t>
      </w:r>
    </w:p>
    <w:p>
      <w:pPr>
        <w:pStyle w:val="BodyText"/>
      </w:pPr>
      <w:r>
        <w:rPr>
          <w:b/>
          <w:bCs/>
        </w:rPr>
        <w:t xml:space="preserve">2. المخاطر المالية:</w:t>
      </w:r>
      <w:r>
        <w:t xml:space="preserve"> </w:t>
      </w:r>
      <w:r>
        <w:t xml:space="preserve">-</w:t>
      </w:r>
      <w:r>
        <w:t xml:space="preserve"> </w:t>
      </w:r>
      <w:r>
        <w:rPr>
          <w:b/>
          <w:bCs/>
        </w:rPr>
        <w:t xml:space="preserve">تجاوز الميزانية:</w:t>
      </w:r>
      <w:r>
        <w:t xml:space="preserve"> </w:t>
      </w:r>
      <w:r>
        <w:t xml:space="preserve">قد تزيد التكاليف الفعلية بسبب تقلبات الأسعار في المواد أو الأجور أو النفقات غير المتوقعة.</w:t>
      </w:r>
      <w:r>
        <w:t xml:space="preserve"> </w:t>
      </w:r>
      <w:r>
        <w:t xml:space="preserve">-</w:t>
      </w:r>
      <w:r>
        <w:t xml:space="preserve"> </w:t>
      </w:r>
      <w:r>
        <w:rPr>
          <w:b/>
          <w:bCs/>
        </w:rPr>
        <w:t xml:space="preserve">إدارة التكاليف:</w:t>
      </w:r>
      <w:r>
        <w:t xml:space="preserve"> </w:t>
      </w:r>
      <w:r>
        <w:t xml:space="preserve">يجب تقديم خطط مالية واقعية مع توفير هوامش للمخاطر المالية المحتملة.</w:t>
      </w:r>
    </w:p>
    <w:p>
      <w:pPr>
        <w:pStyle w:val="BodyText"/>
      </w:pPr>
      <w:r>
        <w:rPr>
          <w:b/>
          <w:bCs/>
        </w:rPr>
        <w:t xml:space="preserve">3. المخاطر القانونية:</w:t>
      </w:r>
      <w:r>
        <w:t xml:space="preserve"> </w:t>
      </w:r>
      <w:r>
        <w:t xml:space="preserve">-</w:t>
      </w:r>
      <w:r>
        <w:t xml:space="preserve"> </w:t>
      </w:r>
      <w:r>
        <w:rPr>
          <w:b/>
          <w:bCs/>
        </w:rPr>
        <w:t xml:space="preserve">عدم الامتثال للوائح:</w:t>
      </w:r>
      <w:r>
        <w:t xml:space="preserve"> </w:t>
      </w:r>
      <w:r>
        <w:t xml:space="preserve">قد يواجه المشروع عواقب قانونية إذا لم يتم الالتزام بالمعايير أو القوانين المعمول بها في مجال البناء والمشتريات الحكومية.</w:t>
      </w:r>
      <w:r>
        <w:t xml:space="preserve"> </w:t>
      </w:r>
      <w:r>
        <w:t xml:space="preserve">-</w:t>
      </w:r>
      <w:r>
        <w:t xml:space="preserve"> </w:t>
      </w:r>
      <w:r>
        <w:rPr>
          <w:b/>
          <w:bCs/>
        </w:rPr>
        <w:t xml:space="preserve">التعاقدات:</w:t>
      </w:r>
      <w:r>
        <w:t xml:space="preserve"> </w:t>
      </w:r>
      <w:r>
        <w:t xml:space="preserve">يجب مراجعة جميع التعاقدات والتأكد من وضوح الشروط والالتزامات.</w:t>
      </w:r>
    </w:p>
    <w:p>
      <w:pPr>
        <w:pStyle w:val="BodyText"/>
      </w:pPr>
      <w:r>
        <w:rPr>
          <w:b/>
          <w:bCs/>
        </w:rPr>
        <w:t xml:space="preserve">4. المخاطر الفنية:</w:t>
      </w:r>
      <w:r>
        <w:t xml:space="preserve"> </w:t>
      </w:r>
      <w:r>
        <w:t xml:space="preserve">-</w:t>
      </w:r>
      <w:r>
        <w:t xml:space="preserve"> </w:t>
      </w:r>
      <w:r>
        <w:rPr>
          <w:b/>
          <w:bCs/>
        </w:rPr>
        <w:t xml:space="preserve">تناقضات في التصميم:</w:t>
      </w:r>
      <w:r>
        <w:t xml:space="preserve"> </w:t>
      </w:r>
      <w:r>
        <w:t xml:space="preserve">يمكن أن تؤدي المشكلات في التصميم إلى إعادة العمل، مما يزيد من التكاليف الزمنية والمالية.</w:t>
      </w:r>
      <w:r>
        <w:t xml:space="preserve"> </w:t>
      </w:r>
      <w:r>
        <w:t xml:space="preserve">-</w:t>
      </w:r>
      <w:r>
        <w:t xml:space="preserve"> </w:t>
      </w:r>
      <w:r>
        <w:rPr>
          <w:b/>
          <w:bCs/>
        </w:rPr>
        <w:t xml:space="preserve">معايير الجودة:</w:t>
      </w:r>
      <w:r>
        <w:t xml:space="preserve"> </w:t>
      </w:r>
      <w:r>
        <w:t xml:space="preserve">الالتزام بالمعايير الفنية وجودة البناء يعد أمرًا حاسمًا؛ لذلك يجب وضع استراتيجيات للإشراف والمراقبة.</w:t>
      </w:r>
    </w:p>
    <w:p>
      <w:pPr>
        <w:pStyle w:val="BodyText"/>
      </w:pPr>
      <w:r>
        <w:rPr>
          <w:b/>
          <w:bCs/>
        </w:rPr>
        <w:t xml:space="preserve">5. المخاطر البيئية:</w:t>
      </w:r>
      <w:r>
        <w:t xml:space="preserve"> </w:t>
      </w:r>
      <w:r>
        <w:t xml:space="preserve">-</w:t>
      </w:r>
      <w:r>
        <w:t xml:space="preserve"> </w:t>
      </w:r>
      <w:r>
        <w:rPr>
          <w:b/>
          <w:bCs/>
        </w:rPr>
        <w:t xml:space="preserve">التأثيرات على البيئة:</w:t>
      </w:r>
      <w:r>
        <w:t xml:space="preserve"> </w:t>
      </w:r>
      <w:r>
        <w:t xml:space="preserve">يجب التقليل من الأثر البيئي للمشروع، مثل تلوث الهواء أو المياه الناتج عن أعمال البناء.</w:t>
      </w:r>
      <w:r>
        <w:t xml:space="preserve"> </w:t>
      </w:r>
      <w:r>
        <w:t xml:space="preserve">-</w:t>
      </w:r>
      <w:r>
        <w:t xml:space="preserve"> </w:t>
      </w:r>
      <w:r>
        <w:rPr>
          <w:b/>
          <w:bCs/>
        </w:rPr>
        <w:t xml:space="preserve">الاستدامة:</w:t>
      </w:r>
      <w:r>
        <w:t xml:space="preserve"> </w:t>
      </w:r>
      <w:r>
        <w:t xml:space="preserve">يفضل استخدام مواد وتقنيات صديقة للبيئة.</w:t>
      </w:r>
    </w:p>
    <w:p>
      <w:pPr>
        <w:pStyle w:val="BodyText"/>
      </w:pPr>
      <w:r>
        <w:rPr>
          <w:b/>
          <w:bCs/>
        </w:rPr>
        <w:t xml:space="preserve">استراتيجيات إدارة المخاطر:</w:t>
      </w:r>
    </w:p>
    <w:p>
      <w:pPr>
        <w:pStyle w:val="BodyText"/>
      </w:pPr>
      <w:r>
        <w:t xml:space="preserve">لتقليل المخاطر المحتملة، يُنصح باتباع الإجراءات التالية:</w:t>
      </w:r>
    </w:p>
    <w:p>
      <w:pPr>
        <w:pStyle w:val="BodyText"/>
      </w:pPr>
      <w:r>
        <w:rPr>
          <w:b/>
          <w:bCs/>
        </w:rPr>
        <w:t xml:space="preserve">1. التخطيط المسبق:</w:t>
      </w:r>
      <w:r>
        <w:t xml:space="preserve"> </w:t>
      </w:r>
      <w:r>
        <w:t xml:space="preserve">- تطوير خطة إدارة المخاطر تتضمن تقييم وتحديد المخاطر المحتملة لكل مرحلة.</w:t>
      </w:r>
      <w:r>
        <w:t xml:space="preserve"> </w:t>
      </w:r>
      <w:r>
        <w:t xml:space="preserve">- إعداد جداول زمنية مرنة، وإعادة تشكيل الجداول في حال ظهور ظروف طارئة.</w:t>
      </w:r>
    </w:p>
    <w:p>
      <w:pPr>
        <w:pStyle w:val="BodyText"/>
      </w:pPr>
      <w:r>
        <w:rPr>
          <w:b/>
          <w:bCs/>
        </w:rPr>
        <w:t xml:space="preserve">2. المراقبة والتحكم:</w:t>
      </w:r>
      <w:r>
        <w:t xml:space="preserve"> </w:t>
      </w:r>
      <w:r>
        <w:t xml:space="preserve">- تفعيل نظام مراقبة دوري لمتابعة تقدم العمل وتقييم المخاطر بشكل مستمر.</w:t>
      </w:r>
      <w:r>
        <w:t xml:space="preserve"> </w:t>
      </w:r>
      <w:r>
        <w:t xml:space="preserve">- إجراء تقارير دورية عن حالة المشروع تشمل التقييمات المالية والفنية.</w:t>
      </w:r>
    </w:p>
    <w:p>
      <w:pPr>
        <w:pStyle w:val="BodyText"/>
      </w:pPr>
      <w:r>
        <w:rPr>
          <w:b/>
          <w:bCs/>
        </w:rPr>
        <w:t xml:space="preserve">3. تدريب الفريق:</w:t>
      </w:r>
      <w:r>
        <w:t xml:space="preserve"> </w:t>
      </w:r>
      <w:r>
        <w:t xml:space="preserve">- تأهيل الفرق العاملة من خلال ورش عمل ودورات تدريبية لرفع الكفاءة وتحسين الأداء.</w:t>
      </w:r>
    </w:p>
    <w:p>
      <w:pPr>
        <w:pStyle w:val="BodyText"/>
      </w:pPr>
      <w:r>
        <w:rPr>
          <w:b/>
          <w:bCs/>
        </w:rPr>
        <w:t xml:space="preserve">4. استشارة الخبراء:</w:t>
      </w:r>
      <w:r>
        <w:t xml:space="preserve"> </w:t>
      </w:r>
      <w:r>
        <w:t xml:space="preserve">- في حالة المخاطر الكبيرة، يجب استشارة خبراء مختصين لتقديم المشورة وحلول متنوعة.</w:t>
      </w:r>
    </w:p>
    <w:p>
      <w:pPr>
        <w:pStyle w:val="BodyText"/>
      </w:pPr>
      <w:r>
        <w:rPr>
          <w:b/>
          <w:bCs/>
        </w:rPr>
        <w:t xml:space="preserve">5. التحليل الاحتياطي:</w:t>
      </w:r>
      <w:r>
        <w:t xml:space="preserve"> </w:t>
      </w:r>
      <w:r>
        <w:t xml:space="preserve">- وضع خطط بديلة لكل نوع من المخاطر بطرق تمكن من التعامل مع الأحداث غير المتوقعة بكفاءة.</w:t>
      </w:r>
    </w:p>
    <w:p>
      <w:pPr>
        <w:pStyle w:val="BodyText"/>
      </w:pPr>
      <w:r>
        <w:t xml:space="preserve">سيضمن الالتزام بهذه الإجراءات تقليل المخاطر المحتملة، مما يعزز من فرص نجاح المشروع ويسهم في تحقيق الأهداف المنشودة لبناء المدارس بشكل فعال وذو جودة عالية.</w:t>
      </w:r>
    </w:p>
    <w:p>
      <w:pPr>
        <w:pStyle w:val="BodyText"/>
      </w:pPr>
      <w:r>
        <w:rPr>
          <w:b/>
          <w:bCs/>
        </w:rPr>
        <w:t xml:space="preserve">القسم الثامن: المعايير البيئية</w:t>
      </w:r>
    </w:p>
    <w:p>
      <w:pPr>
        <w:pStyle w:val="BodyText"/>
      </w:pPr>
      <w:r>
        <w:rPr>
          <w:b/>
          <w:bCs/>
        </w:rPr>
        <w:t xml:space="preserve">التوافر البيئي:</w:t>
      </w:r>
    </w:p>
    <w:p>
      <w:pPr>
        <w:pStyle w:val="BodyText"/>
      </w:pPr>
      <w:r>
        <w:t xml:space="preserve">إن الالتزام بالقوانين البيئية في المملكة العربية السعودية يعد أمرًا حيويًا لأهمية الحفاظ على البيئة وتحقيق التنمية المستدامة. يتمثل الهدف الرئيسي في ضمان تنفيذ جميع عمليات بناء المدارس بما يتوافق مع التشريعات واللوائح البيئية المعمول بها، وذلك من خلال اتخاذ مجموعة من الإجراءات والتدابير اللازمة.</w:t>
      </w:r>
    </w:p>
    <w:p>
      <w:pPr>
        <w:pStyle w:val="BodyText"/>
      </w:pPr>
      <w:r>
        <w:rPr>
          <w:b/>
          <w:bCs/>
        </w:rPr>
        <w:t xml:space="preserve">الإجراءات المتبعة:</w:t>
      </w:r>
    </w:p>
    <w:p>
      <w:pPr>
        <w:numPr>
          <w:ilvl w:val="0"/>
          <w:numId w:val="1005"/>
        </w:numPr>
      </w:pPr>
      <w:r>
        <w:rPr>
          <w:b/>
          <w:bCs/>
        </w:rPr>
        <w:t xml:space="preserve">الامتثال للقوانين:</w:t>
      </w:r>
      <w:r>
        <w:t xml:space="preserve"> </w:t>
      </w:r>
      <w:r>
        <w:t xml:space="preserve">يجب أن يتبع المتنافسون كافة الأنظمة واللوائح البيئية المعتمدة من قبل وزارة البيئة والمياه والزراعة في المملكة والتي تنظم أنشطة البناء والتشييد. وهذا يشمل الحصول على كافة التصاريح اللازمة وإجراء التقييمات البيئية المطلوبة قبل بدء المشروع.</w:t>
      </w:r>
    </w:p>
    <w:p>
      <w:pPr>
        <w:numPr>
          <w:ilvl w:val="0"/>
          <w:numId w:val="1005"/>
        </w:numPr>
      </w:pPr>
      <w:r>
        <w:rPr>
          <w:b/>
          <w:bCs/>
        </w:rPr>
        <w:t xml:space="preserve">إدارة النفايات:</w:t>
      </w:r>
      <w:r>
        <w:t xml:space="preserve"> </w:t>
      </w:r>
      <w:r>
        <w:t xml:space="preserve">يتوجب وضع خطة شاملة لإدارة النفايات الناتجة عن أعمال البناء، بحيث تشمل تقليل النفايات وإعادة التدوير. يجب التأكيد على فصل النفايات في موقع المشروع بما يتوافق مع الالتزامات البيئية، وتقديم تقارير دورية حول إدارة النفايات لشؤون البيئة.</w:t>
      </w:r>
    </w:p>
    <w:p>
      <w:pPr>
        <w:numPr>
          <w:ilvl w:val="0"/>
          <w:numId w:val="1005"/>
        </w:numPr>
      </w:pPr>
      <w:r>
        <w:rPr>
          <w:b/>
          <w:bCs/>
        </w:rPr>
        <w:t xml:space="preserve">الحفاظ على الموارد الطبيعية:</w:t>
      </w:r>
      <w:r>
        <w:t xml:space="preserve"> </w:t>
      </w:r>
      <w:r>
        <w:t xml:space="preserve">يجب التأكيد على استخدام مواد بناء مستدامة وصديقة للبيئة، مع مراعاة تقليل استهلاك الموارد الطبيعية والحفاظ عليها. يُنصح باستخدام المواد القابلة لإعادة التدوير وتلك التي تُنتج بطرق صديقة للبيئة.</w:t>
      </w:r>
    </w:p>
    <w:p>
      <w:pPr>
        <w:numPr>
          <w:ilvl w:val="0"/>
          <w:numId w:val="1005"/>
        </w:numPr>
      </w:pPr>
      <w:r>
        <w:rPr>
          <w:b/>
          <w:bCs/>
        </w:rPr>
        <w:t xml:space="preserve">تقييم الأثر البيئي:</w:t>
      </w:r>
      <w:r>
        <w:t xml:space="preserve"> </w:t>
      </w:r>
      <w:r>
        <w:t xml:space="preserve">يجب إجراء تقييم شامل للأثر البيئي قبل وأثناء وبعد تنفيذ المشروع، لضمان عدم تأثير الأنشطة على البيئة المحيطة. يتضمن ذلك دراسة التأثيرات المحتملة على المناطق البيئية المحلية، وخصوصًا في المناطق النائية والريفية.</w:t>
      </w:r>
    </w:p>
    <w:p>
      <w:pPr>
        <w:numPr>
          <w:ilvl w:val="0"/>
          <w:numId w:val="1005"/>
        </w:numPr>
      </w:pPr>
      <w:r>
        <w:rPr>
          <w:b/>
          <w:bCs/>
        </w:rPr>
        <w:t xml:space="preserve">توعية الموظفين:</w:t>
      </w:r>
      <w:r>
        <w:t xml:space="preserve"> </w:t>
      </w:r>
      <w:r>
        <w:t xml:space="preserve">يُشترط تدريب العاملين في المشروع حول الممارسات البيئية السليمة، وتعزيز الوعي بأهمية الحفاظ على البيئة. يجب أن تكون هناك ورش عمل ودورات تثقيفية للموظفين لضمان تنفيذ المعايير البيئية بشكل فعال.</w:t>
      </w:r>
    </w:p>
    <w:p>
      <w:pPr>
        <w:numPr>
          <w:ilvl w:val="0"/>
          <w:numId w:val="1005"/>
        </w:numPr>
      </w:pPr>
      <w:r>
        <w:rPr>
          <w:b/>
          <w:bCs/>
        </w:rPr>
        <w:t xml:space="preserve">المراقبة والتقارير:</w:t>
      </w:r>
      <w:r>
        <w:t xml:space="preserve"> </w:t>
      </w:r>
      <w:r>
        <w:t xml:space="preserve">ستقوم الجهة الحكومية المعنية بمتابعة تنفيذ المعايير البيئية من خلال المراقبة الدورية. يجب على المتنافسين تقديم تقارير دورية توضح الالتزام بالمعايير البيئية المدروسة وتقديم أي تدابير تصحيحية في حال ظهور أي انحرافات عن هذه المعايير.</w:t>
      </w:r>
    </w:p>
    <w:p>
      <w:pPr>
        <w:pStyle w:val="FirstParagraph"/>
      </w:pPr>
      <w:r>
        <w:t xml:space="preserve">من خلال الالتزام بهذه المعايير البيئية، يُمكن تحقيق استدامة بيئية تعزز من فائدة مشروع بناء المدارس وتساهم في تطوير بيئة تعليمية صحية وآمنة للأجيال القادمة.</w:t>
      </w:r>
    </w:p>
    <w:p>
      <w:pPr>
        <w:pStyle w:val="BodyText"/>
      </w:pPr>
      <w:r>
        <w:rPr>
          <w:b/>
          <w:bCs/>
        </w:rPr>
        <w:t xml:space="preserve">القسم التاسع: التقييم والاختيار</w:t>
      </w:r>
    </w:p>
    <w:p>
      <w:pPr>
        <w:pStyle w:val="BodyText"/>
      </w:pPr>
      <w:r>
        <w:rPr>
          <w:b/>
          <w:bCs/>
        </w:rPr>
        <w:t xml:space="preserve">معايير تقييم العروض:</w:t>
      </w:r>
    </w:p>
    <w:p>
      <w:pPr>
        <w:pStyle w:val="BodyText"/>
      </w:pPr>
      <w:r>
        <w:t xml:space="preserve">تُعتبر عملية تقييم العروض المقدمة من المقاولين أحد العناصر الأساسية لضمان نجاح مشروع بناء المدارس. سوف يتم تقييم العروض وفقًا لمجموعة من المعايير المحددة التي تضمن النزاهة والشفافية، مما يسهل اختيار أفضل العروض لتنفيذ المشروع. تشمل هذه المعايير ما يلي:</w:t>
      </w:r>
    </w:p>
    <w:p>
      <w:pPr>
        <w:pStyle w:val="BodyText"/>
      </w:pPr>
      <w:r>
        <w:rPr>
          <w:b/>
          <w:bCs/>
        </w:rPr>
        <w:t xml:space="preserve">1. المعايير المالية:</w:t>
      </w:r>
      <w:r>
        <w:t xml:space="preserve"> </w:t>
      </w:r>
      <w:r>
        <w:t xml:space="preserve">-</w:t>
      </w:r>
      <w:r>
        <w:t xml:space="preserve"> </w:t>
      </w:r>
      <w:r>
        <w:rPr>
          <w:b/>
          <w:bCs/>
        </w:rPr>
        <w:t xml:space="preserve">التكلفة الإجمالية:</w:t>
      </w:r>
      <w:r>
        <w:t xml:space="preserve"> </w:t>
      </w:r>
      <w:r>
        <w:t xml:space="preserve">سيتم تقييم العروض بناءً على التكلفة العامة لكل مدرسة، ومدى توافقها مع الميزانية المحددة.</w:t>
      </w:r>
      <w:r>
        <w:t xml:space="preserve"> </w:t>
      </w:r>
      <w:r>
        <w:t xml:space="preserve">-</w:t>
      </w:r>
      <w:r>
        <w:t xml:space="preserve"> </w:t>
      </w:r>
      <w:r>
        <w:rPr>
          <w:b/>
          <w:bCs/>
        </w:rPr>
        <w:t xml:space="preserve">تفاصيل الفاتورة:</w:t>
      </w:r>
      <w:r>
        <w:t xml:space="preserve"> </w:t>
      </w:r>
      <w:r>
        <w:t xml:space="preserve">يجب أن تتوافر في العروض تقديم تحليل تفصيلي للتكاليف، بما في ذلك تقسيم النفقات إلى فئات مثل مواد البناء، الأجور والتجهيزات.</w:t>
      </w:r>
    </w:p>
    <w:p>
      <w:pPr>
        <w:pStyle w:val="BodyText"/>
      </w:pPr>
      <w:r>
        <w:rPr>
          <w:b/>
          <w:bCs/>
        </w:rPr>
        <w:t xml:space="preserve">2. المعايير الفنية:</w:t>
      </w:r>
      <w:r>
        <w:t xml:space="preserve"> </w:t>
      </w:r>
      <w:r>
        <w:t xml:space="preserve">-</w:t>
      </w:r>
      <w:r>
        <w:t xml:space="preserve"> </w:t>
      </w:r>
      <w:r>
        <w:rPr>
          <w:b/>
          <w:bCs/>
        </w:rPr>
        <w:t xml:space="preserve">مطابقة المواصفات:</w:t>
      </w:r>
      <w:r>
        <w:t xml:space="preserve"> </w:t>
      </w:r>
      <w:r>
        <w:t xml:space="preserve">يجب أن تتوافق التصاميم المقدمة من المقاولين مع معظم المواصفات الفنية المذكورة في وثيقة المناقصة، بما في ذلك متطلبات التصميم والمعايير البيئية.</w:t>
      </w:r>
      <w:r>
        <w:t xml:space="preserve"> </w:t>
      </w:r>
      <w:r>
        <w:t xml:space="preserve">-</w:t>
      </w:r>
      <w:r>
        <w:t xml:space="preserve"> </w:t>
      </w:r>
      <w:r>
        <w:rPr>
          <w:b/>
          <w:bCs/>
        </w:rPr>
        <w:t xml:space="preserve">الابتكار والإبداع:</w:t>
      </w:r>
      <w:r>
        <w:t xml:space="preserve"> </w:t>
      </w:r>
      <w:r>
        <w:t xml:space="preserve">ستؤخذ بعين الاعتبار أي استراتيجيات مبتكرة قدمها المتنافسون، والتي قد تساهم في تحسين كفاءة المشروع وتعزيز استخدام المواد المستدامة.</w:t>
      </w:r>
    </w:p>
    <w:p>
      <w:pPr>
        <w:pStyle w:val="BodyText"/>
      </w:pPr>
      <w:r>
        <w:rPr>
          <w:b/>
          <w:bCs/>
        </w:rPr>
        <w:t xml:space="preserve">3. الخبرة الفنية والقدرة الإدارية:</w:t>
      </w:r>
      <w:r>
        <w:t xml:space="preserve"> </w:t>
      </w:r>
      <w:r>
        <w:t xml:space="preserve">-</w:t>
      </w:r>
      <w:r>
        <w:t xml:space="preserve"> </w:t>
      </w:r>
      <w:r>
        <w:rPr>
          <w:b/>
          <w:bCs/>
        </w:rPr>
        <w:t xml:space="preserve">تاريخ الشركة:</w:t>
      </w:r>
      <w:r>
        <w:t xml:space="preserve"> </w:t>
      </w:r>
      <w:r>
        <w:t xml:space="preserve">يجب على المتنافسين تقديم معلومات حول المشاريع السابقة التي تم تنفيذها بنجاح، مع التركيز على التجارب المتعلقة بمشاريع مشابهة لبناء المدارس.</w:t>
      </w:r>
      <w:r>
        <w:t xml:space="preserve"> </w:t>
      </w:r>
      <w:r>
        <w:t xml:space="preserve">-</w:t>
      </w:r>
      <w:r>
        <w:t xml:space="preserve"> </w:t>
      </w:r>
      <w:r>
        <w:rPr>
          <w:b/>
          <w:bCs/>
        </w:rPr>
        <w:t xml:space="preserve">كفاءة الفريق:</w:t>
      </w:r>
      <w:r>
        <w:t xml:space="preserve"> </w:t>
      </w:r>
      <w:r>
        <w:t xml:space="preserve">يجب تقييم كفاءة الأفراد الرئيسيين المشاركين في المشروع وتحديد عمليات التدريب والخبرة الفنية الخاصة بكل واحد منهم.</w:t>
      </w:r>
    </w:p>
    <w:p>
      <w:pPr>
        <w:pStyle w:val="BodyText"/>
      </w:pPr>
      <w:r>
        <w:rPr>
          <w:b/>
          <w:bCs/>
        </w:rPr>
        <w:t xml:space="preserve">4. الجدول الزمني للتنفيذ:</w:t>
      </w:r>
      <w:r>
        <w:t xml:space="preserve"> </w:t>
      </w:r>
      <w:r>
        <w:t xml:space="preserve">-</w:t>
      </w:r>
      <w:r>
        <w:t xml:space="preserve"> </w:t>
      </w:r>
      <w:r>
        <w:rPr>
          <w:b/>
          <w:bCs/>
        </w:rPr>
        <w:t xml:space="preserve">الجدول الزمني المقترح:</w:t>
      </w:r>
      <w:r>
        <w:t xml:space="preserve"> </w:t>
      </w:r>
      <w:r>
        <w:t xml:space="preserve">ستقوم اللجنة بمراجعة الجدول الزمني المقدم من المقاولين وتقييم ما إذا كان قابلاً للتنفيذ ويتماشى مع المواعيد المحددة.</w:t>
      </w:r>
      <w:r>
        <w:t xml:space="preserve"> </w:t>
      </w:r>
      <w:r>
        <w:t xml:space="preserve">-</w:t>
      </w:r>
      <w:r>
        <w:t xml:space="preserve"> </w:t>
      </w:r>
      <w:r>
        <w:rPr>
          <w:b/>
          <w:bCs/>
        </w:rPr>
        <w:t xml:space="preserve">استراتيجيات التعامل مع التأخيرات:</w:t>
      </w:r>
      <w:r>
        <w:t xml:space="preserve"> </w:t>
      </w:r>
      <w:r>
        <w:t xml:space="preserve">يتضمن التقييم النظر في الخطط المقررة من المقاولين للتعامل مع أي تأخيرات محتملة أثناء التنفيذ.</w:t>
      </w:r>
    </w:p>
    <w:p>
      <w:pPr>
        <w:pStyle w:val="BodyText"/>
      </w:pPr>
      <w:r>
        <w:rPr>
          <w:b/>
          <w:bCs/>
        </w:rPr>
        <w:t xml:space="preserve">5. التزام المقاولين بالجودة:</w:t>
      </w:r>
      <w:r>
        <w:t xml:space="preserve"> </w:t>
      </w:r>
      <w:r>
        <w:t xml:space="preserve">-</w:t>
      </w:r>
      <w:r>
        <w:t xml:space="preserve"> </w:t>
      </w:r>
      <w:r>
        <w:rPr>
          <w:b/>
          <w:bCs/>
        </w:rPr>
        <w:t xml:space="preserve">معايير الجودة:</w:t>
      </w:r>
      <w:r>
        <w:t xml:space="preserve"> </w:t>
      </w:r>
      <w:r>
        <w:t xml:space="preserve">يجب أن يُظهر المتنافسون كيف يمكنهم الالتزام بمعايير الجودة خلال كافة مراحل التنفيذ، بما في ذلك التخطيط، البناء، والإشراف.</w:t>
      </w:r>
      <w:r>
        <w:t xml:space="preserve"> </w:t>
      </w:r>
      <w:r>
        <w:t xml:space="preserve">-</w:t>
      </w:r>
      <w:r>
        <w:t xml:space="preserve"> </w:t>
      </w:r>
      <w:r>
        <w:rPr>
          <w:b/>
          <w:bCs/>
        </w:rPr>
        <w:t xml:space="preserve">برامج التفتيش والمراقبة:</w:t>
      </w:r>
      <w:r>
        <w:t xml:space="preserve"> </w:t>
      </w:r>
      <w:r>
        <w:t xml:space="preserve">يجب أن تتضمن العروض تشكيلة من برامج التفتيش والمراقبة والآليات المخصصة للتأكد من أن جميع الأعمال تتوافق مع معايير الجودة المحددة.</w:t>
      </w:r>
    </w:p>
    <w:p>
      <w:pPr>
        <w:pStyle w:val="BodyText"/>
      </w:pPr>
      <w:r>
        <w:rPr>
          <w:b/>
          <w:bCs/>
        </w:rPr>
        <w:t xml:space="preserve">عملية التقييم:</w:t>
      </w:r>
    </w:p>
    <w:p>
      <w:pPr>
        <w:pStyle w:val="BodyText"/>
      </w:pPr>
      <w:r>
        <w:t xml:space="preserve">سيتم تشكيل لجنة تقييم متخصصة تتألف من الأفراد ذوي الخبرة في مجالات البناء والهندسة والإدارة المالية والبيئية. ستقوم اللجنة بمراجعة كل العروض وفقًا للمعايير المذكورة أعلاه، مطابقةً بين النتائج التي تم تحقيقها في العروض وإحتياجات المشروع.</w:t>
      </w:r>
    </w:p>
    <w:p>
      <w:pPr>
        <w:pStyle w:val="BodyText"/>
      </w:pPr>
      <w:r>
        <w:t xml:space="preserve">سيتم توثيق جميع الملاحظات والقرارات المتعلقة بعملية التقييم بشكل رسمي، مع تضمين مبررات الاختيار لكل عرض مقبول. بعد الانتهاء من عملية التقييم، سيتم إخطار المتنافسين بنتائج التقييم، بما يتيح لهم الفرصة لتقديم أي ملاحظات إن رغبت اللجنة في ذلك.</w:t>
      </w:r>
    </w:p>
    <w:p>
      <w:pPr>
        <w:pStyle w:val="BodyText"/>
      </w:pPr>
      <w:r>
        <w:t xml:space="preserve">من خلال تطبيق هذه المعايير والإجراءات بفعالية، نستطيع ضمان اختيار أفضل العروض بما يتماشى مع أهداف المشروع ويعزز من جودة التعليم في المملكة العربية السعودية.</w:t>
      </w:r>
    </w:p>
    <w:p>
      <w:pPr>
        <w:pStyle w:val="BodyText"/>
      </w:pPr>
      <w:r>
        <w:rPr>
          <w:b/>
          <w:bCs/>
        </w:rPr>
        <w:t xml:space="preserve">القسم العاشر: التواصل</w:t>
      </w:r>
    </w:p>
    <w:p>
      <w:pPr>
        <w:pStyle w:val="BodyText"/>
      </w:pPr>
      <w:r>
        <w:rPr>
          <w:b/>
          <w:bCs/>
        </w:rPr>
        <w:t xml:space="preserve">البريد الإلكتروني للمسؤول:</w:t>
      </w:r>
    </w:p>
    <w:p>
      <w:pPr>
        <w:pStyle w:val="BodyText"/>
      </w:pPr>
      <w:r>
        <w:t xml:space="preserve">لضمان تفاعل سلس وتبادل فعال للمعلومات بين المتنافسين والجهة الحكومية، تم تخصيص عنوان بريد إلكتروني خصيصاً لتلقي الاستفسارات والردود المتعلقة بالمناقصة. يُرجى استخدام البريد الإلكتروني التالي للتواصل:</w:t>
      </w:r>
    </w:p>
    <w:p>
      <w:pPr>
        <w:pStyle w:val="Compact"/>
        <w:numPr>
          <w:ilvl w:val="0"/>
          <w:numId w:val="1006"/>
        </w:numPr>
      </w:pPr>
      <w:r>
        <w:rPr>
          <w:b/>
          <w:bCs/>
        </w:rPr>
        <w:t xml:space="preserve">البريد الإلكتروني:</w:t>
      </w:r>
      <w:r>
        <w:t xml:space="preserve"> </w:t>
      </w:r>
      <w:r>
        <w:t xml:space="preserve">m@123.com</w:t>
      </w:r>
    </w:p>
    <w:p>
      <w:pPr>
        <w:pStyle w:val="FirstParagraph"/>
      </w:pPr>
      <w:r>
        <w:t xml:space="preserve">يُفضل إرسال الاستفسارات في أقرب وقت ممكن لتجنب أي تأخير في تقديم العروض. ستقوم الجهة الحكومية بالرد على جميع الاستفسارات بشكل دوري، وسيتم جمع الأسئلة الشائعة والإجابات عليها وتوزيعها على جميع المتنافسين المسجلين في المناقصة.</w:t>
      </w:r>
    </w:p>
    <w:p>
      <w:pPr>
        <w:pStyle w:val="BodyText"/>
      </w:pPr>
      <w:r>
        <w:t xml:space="preserve">نؤكد على أهمية التواصل الفعال والشفاف لضمان تحسين فهم جميع المتنافسين لمتطلبات المشروع وظروف المنافسة، مما يسهم في تحقيق أهداف بناء المدارس بطريقة مهنية وفعالة.</w:t>
      </w:r>
    </w:p>
    <w:p>
      <w:pPr>
        <w:pStyle w:val="BodyText"/>
      </w:pPr>
      <w:r>
        <w:rPr>
          <w:b/>
          <w:bCs/>
        </w:rPr>
        <w:t xml:space="preserve">القسم الحادي عشر: الملاحق</w:t>
      </w:r>
    </w:p>
    <w:p>
      <w:pPr>
        <w:pStyle w:val="BodyText"/>
      </w:pPr>
      <w:r>
        <w:rPr>
          <w:b/>
          <w:bCs/>
        </w:rPr>
        <w:t xml:space="preserve">المستندات الداعمة:</w:t>
      </w:r>
    </w:p>
    <w:p>
      <w:pPr>
        <w:pStyle w:val="BodyText"/>
      </w:pPr>
      <w:r>
        <w:t xml:space="preserve">تُعتبر المستندات أو الملاحق الإضافية جزءًا أساسيًا من الكراسة، حيث توفر معلومات تفصيلية ودعماً ضرورياً للمنافسين لفهم المتطلبات والإجراءات بشكل أفضل. تشمل هذه المستندات ما يلي:</w:t>
      </w:r>
    </w:p>
    <w:p>
      <w:pPr>
        <w:numPr>
          <w:ilvl w:val="0"/>
          <w:numId w:val="1007"/>
        </w:numPr>
      </w:pPr>
      <w:r>
        <w:rPr>
          <w:b/>
          <w:bCs/>
        </w:rPr>
        <w:t xml:space="preserve">الملاحق الفنية:</w:t>
      </w:r>
      <w:r>
        <w:t xml:space="preserve"> </w:t>
      </w:r>
      <w:r>
        <w:t xml:space="preserve">تحتوي على تفاصيل فنية إضافية، مثل الرسوم الهندسية، المخططات المعمارية، والمواصفات الفنية لكل مدرسة تعتمد على المعايير المعتمدة من قبل الجهات المختصة.</w:t>
      </w:r>
    </w:p>
    <w:p>
      <w:pPr>
        <w:numPr>
          <w:ilvl w:val="0"/>
          <w:numId w:val="1007"/>
        </w:numPr>
      </w:pPr>
      <w:r>
        <w:rPr>
          <w:b/>
          <w:bCs/>
        </w:rPr>
        <w:t xml:space="preserve">الملاحق المالية:</w:t>
      </w:r>
      <w:r>
        <w:t xml:space="preserve"> </w:t>
      </w:r>
      <w:r>
        <w:t xml:space="preserve">تقدم معلومات تفصيلية عن ميزانية المشروع، وتوزيع النفقات، ومتطلبات العروض المالية، بما في ذلك النماذج المستخدمة في تقديم العروض المالية.</w:t>
      </w:r>
    </w:p>
    <w:p>
      <w:pPr>
        <w:numPr>
          <w:ilvl w:val="0"/>
          <w:numId w:val="1007"/>
        </w:numPr>
      </w:pPr>
      <w:r>
        <w:rPr>
          <w:b/>
          <w:bCs/>
        </w:rPr>
        <w:t xml:space="preserve">مستندات القوانين واللوائح:</w:t>
      </w:r>
      <w:r>
        <w:t xml:space="preserve"> </w:t>
      </w:r>
      <w:r>
        <w:t xml:space="preserve">تشمل التشريعات الوطنية والمحلية المتعلقة بالمشتريات الحكومية، وأنظمة البيئة، والمعايير الهندسية، والتي يجب على المتنافسين الاطلاع عليها والتقيد بها.</w:t>
      </w:r>
    </w:p>
    <w:p>
      <w:pPr>
        <w:numPr>
          <w:ilvl w:val="0"/>
          <w:numId w:val="1007"/>
        </w:numPr>
      </w:pPr>
      <w:r>
        <w:rPr>
          <w:b/>
          <w:bCs/>
        </w:rPr>
        <w:t xml:space="preserve">ملاحق تقييم المخاطر:</w:t>
      </w:r>
      <w:r>
        <w:t xml:space="preserve"> </w:t>
      </w:r>
      <w:r>
        <w:t xml:space="preserve">تُوضح المخاطر المحتملة وكيفية إدارتها، بما في ذلك الخطط البديلة والاستراتيجيات المعتمدة.</w:t>
      </w:r>
    </w:p>
    <w:p>
      <w:pPr>
        <w:numPr>
          <w:ilvl w:val="0"/>
          <w:numId w:val="1007"/>
        </w:numPr>
      </w:pPr>
      <w:r>
        <w:rPr>
          <w:b/>
          <w:bCs/>
        </w:rPr>
        <w:t xml:space="preserve">الشهادات والاعتمادات:</w:t>
      </w:r>
      <w:r>
        <w:t xml:space="preserve"> </w:t>
      </w:r>
      <w:r>
        <w:t xml:space="preserve">تقدم أي شهادات أو اعتمادات ذات صلة قد تُدعم كفاءة المتنافسين، مثل تراخيص البناء والتصاريح البيئية المعتمدة.</w:t>
      </w:r>
    </w:p>
    <w:p>
      <w:pPr>
        <w:numPr>
          <w:ilvl w:val="0"/>
          <w:numId w:val="1007"/>
        </w:numPr>
      </w:pPr>
      <w:r>
        <w:rPr>
          <w:b/>
          <w:bCs/>
        </w:rPr>
        <w:t xml:space="preserve">تعليمات إضافية:</w:t>
      </w:r>
      <w:r>
        <w:t xml:space="preserve"> </w:t>
      </w:r>
      <w:r>
        <w:t xml:space="preserve">تحتوي على أي تعليمات أو إيضاحات إضافية لمساعدة المتنافسين في تقديم عروضهم بصورة مناسبة، بما في ذلك المواعيد النهائية وتفاصيل التسليم.</w:t>
      </w:r>
    </w:p>
    <w:p>
      <w:pPr>
        <w:pStyle w:val="FirstParagraph"/>
      </w:pPr>
      <w:r>
        <w:t xml:space="preserve">يُرجى من المتنافسين مراجعة هذه الملاحق بعناية لضمان الالتزام بجميع الشروط والمعايير المطلوبة لتقديم عروضهم بشكل يحقق أهداف المشروع.</w:t>
      </w:r>
    </w:p>
    <w:sectPr w:rsidR="002828B4" w:rsidRPr="002828B4">
      <w:headerReference r:id="rId9" w:type="default"/>
      <w:footerReference r:id="rId10" w:type="default"/>
      <w:pgSz w:h="16840" w:w="11910"/>
      <w:pgMar w:bottom="1100" w:footer="901" w:gutter="0" w:header="304" w:left="992" w:right="850" w:top="16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Naskh Arabic">
    <w:panose1 w:val="00000000000000000000"/>
    <w:charset w:val="00"/>
    <w:family w:val="auto"/>
    <w:pitch w:val="variable"/>
    <w:sig w:usb0="A000206F" w:usb1="8200204A" w:usb2="00000008" w:usb3="00000000" w:csb0="000000D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D3E4" w14:textId="77777777" w:rsidR="00F40164" w:rsidRDefault="00000000">
    <w:pPr>
      <w:pStyle w:val="BodyText"/>
      <w:spacing w:line="14" w:lineRule="auto"/>
      <w:rPr>
        <w:sz w:val="20"/>
      </w:rPr>
    </w:pPr>
    <w:r>
      <w:rPr>
        <w:noProof/>
        <w:sz w:val="20"/>
      </w:rPr>
      <mc:AlternateContent>
        <mc:Choice Requires="wps">
          <w:drawing>
            <wp:anchor distT="0" distB="0" distL="0" distR="0" simplePos="0" relativeHeight="251749376" behindDoc="1" locked="0" layoutInCell="1" allowOverlap="1" wp14:anchorId="37912EBF" wp14:editId="57BB1A18">
              <wp:simplePos x="0" y="0"/>
              <wp:positionH relativeFrom="page">
                <wp:posOffset>609600</wp:posOffset>
              </wp:positionH>
              <wp:positionV relativeFrom="page">
                <wp:posOffset>10259580</wp:posOffset>
              </wp:positionV>
              <wp:extent cx="6443980" cy="635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60CF65" id="Graphic 156" o:spid="_x0000_s1026" style="position:absolute;margin-left:48pt;margin-top:807.85pt;width:507.4pt;height:.5pt;z-index:-25156710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4496" behindDoc="1" locked="0" layoutInCell="1" allowOverlap="1" wp14:anchorId="3FE4FA36" wp14:editId="4E5FCE3F">
              <wp:simplePos x="0" y="0"/>
              <wp:positionH relativeFrom="page">
                <wp:posOffset>609600</wp:posOffset>
              </wp:positionH>
              <wp:positionV relativeFrom="page">
                <wp:posOffset>9942588</wp:posOffset>
              </wp:positionV>
              <wp:extent cx="6443980" cy="635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980" cy="6350"/>
                      </a:xfrm>
                      <a:custGeom>
                        <a:avLst/>
                        <a:gdLst/>
                        <a:ahLst/>
                        <a:cxnLst/>
                        <a:rect l="l" t="t" r="r" b="b"/>
                        <a:pathLst>
                          <a:path w="6443980" h="6350">
                            <a:moveTo>
                              <a:pt x="1617586" y="0"/>
                            </a:moveTo>
                            <a:lnTo>
                              <a:pt x="1611503" y="0"/>
                            </a:lnTo>
                            <a:lnTo>
                              <a:pt x="0" y="0"/>
                            </a:lnTo>
                            <a:lnTo>
                              <a:pt x="0" y="6083"/>
                            </a:lnTo>
                            <a:lnTo>
                              <a:pt x="1611503" y="6083"/>
                            </a:lnTo>
                            <a:lnTo>
                              <a:pt x="1617586" y="6083"/>
                            </a:lnTo>
                            <a:lnTo>
                              <a:pt x="1617586" y="0"/>
                            </a:lnTo>
                            <a:close/>
                          </a:path>
                          <a:path w="6443980" h="6350">
                            <a:moveTo>
                              <a:pt x="3228708" y="0"/>
                            </a:moveTo>
                            <a:lnTo>
                              <a:pt x="3222625" y="0"/>
                            </a:lnTo>
                            <a:lnTo>
                              <a:pt x="1617599" y="0"/>
                            </a:lnTo>
                            <a:lnTo>
                              <a:pt x="1617599" y="6083"/>
                            </a:lnTo>
                            <a:lnTo>
                              <a:pt x="3222625" y="6083"/>
                            </a:lnTo>
                            <a:lnTo>
                              <a:pt x="3228708" y="6083"/>
                            </a:lnTo>
                            <a:lnTo>
                              <a:pt x="3228708" y="0"/>
                            </a:lnTo>
                            <a:close/>
                          </a:path>
                          <a:path w="6443980" h="6350">
                            <a:moveTo>
                              <a:pt x="4832223" y="0"/>
                            </a:moveTo>
                            <a:lnTo>
                              <a:pt x="3228721" y="0"/>
                            </a:lnTo>
                            <a:lnTo>
                              <a:pt x="3228721" y="6083"/>
                            </a:lnTo>
                            <a:lnTo>
                              <a:pt x="4832223" y="6083"/>
                            </a:lnTo>
                            <a:lnTo>
                              <a:pt x="4832223" y="0"/>
                            </a:lnTo>
                            <a:close/>
                          </a:path>
                          <a:path w="6443980" h="6350">
                            <a:moveTo>
                              <a:pt x="6443472" y="0"/>
                            </a:moveTo>
                            <a:lnTo>
                              <a:pt x="4838446" y="0"/>
                            </a:lnTo>
                            <a:lnTo>
                              <a:pt x="4832350" y="0"/>
                            </a:lnTo>
                            <a:lnTo>
                              <a:pt x="4832350" y="6083"/>
                            </a:lnTo>
                            <a:lnTo>
                              <a:pt x="4838446" y="6083"/>
                            </a:lnTo>
                            <a:lnTo>
                              <a:pt x="6443472" y="6083"/>
                            </a:lnTo>
                            <a:lnTo>
                              <a:pt x="6443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C3622D" id="Graphic 157" o:spid="_x0000_s1026" style="position:absolute;margin-left:48pt;margin-top:782.9pt;width:507.4pt;height:.5pt;z-index:-251561984;visibility:visible;mso-wrap-style:square;mso-wrap-distance-left:0;mso-wrap-distance-top:0;mso-wrap-distance-right:0;mso-wrap-distance-bottom:0;mso-position-horizontal:absolute;mso-position-horizontal-relative:page;mso-position-vertical:absolute;mso-position-vertical-relative:page;v-text-anchor:top" coordsize="6443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" path="m1617586,r-6083,l,,,6083r1611503,l1617586,6083r,-6083xem3228708,r-6083,l1617599,r,6083l3222625,6083r6083,l3228708,xem4832223,l3228721,r,6083l4832223,6083r,-6083xem6443472,l4838446,r-6096,l4832350,6083r6096,l6443472,6083r,-6083xe" fillcolor="black" stroked="f">
              <v:path arrowok="t"/>
              <w10:wrap anchorx="page" anchory="page"/>
            </v:shape>
          </w:pict>
        </mc:Fallback>
      </mc:AlternateContent>
    </w:r>
    <w:r>
      <w:rPr>
        <w:noProof/>
        <w:sz w:val="20"/>
      </w:rPr>
      <mc:AlternateContent>
        <mc:Choice Requires="wps">
          <w:drawing>
            <wp:anchor distT="0" distB="0" distL="0" distR="0" simplePos="0" relativeHeight="251759616" behindDoc="1" locked="0" layoutInCell="1" allowOverlap="1" wp14:anchorId="4C781E8D" wp14:editId="3738F4FE">
              <wp:simplePos x="0" y="0"/>
              <wp:positionH relativeFrom="page">
                <wp:posOffset>5935211</wp:posOffset>
              </wp:positionH>
              <wp:positionV relativeFrom="page">
                <wp:posOffset>9963022</wp:posOffset>
              </wp:positionV>
              <wp:extent cx="539115" cy="30607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 cy="306070"/>
                      </a:xfrm>
                      <a:prstGeom prst="rect">
                        <a:avLst/>
                      </a:prstGeom>
                    </wps:spPr>
                    <wps:txbx>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wps:txbx>
                    <wps:bodyPr wrap="square" lIns="0" tIns="0" rIns="0" bIns="0" rtlCol="0">
                      <a:noAutofit/>
                    </wps:bodyPr>
                  </wps:wsp>
                </a:graphicData>
              </a:graphic>
            </wp:anchor>
          </w:drawing>
        </mc:Choice>
        <mc:Fallback>
          <w:pict>
            <v:shapetype w14:anchorId="4C781E8D" id="_x0000_t202" coordsize="21600,21600" o:spt="202" path="m,l,21600r21600,l21600,xe">
              <v:stroke joinstyle="miter"/>
              <v:path gradientshapeok="t" o:connecttype="rect"/>
            </v:shapetype>
            <v:shape id="Textbox 158" o:spid="_x0000_s1027" type="#_x0000_t202" style="position:absolute;left:0;text-align:left;margin-left:467.35pt;margin-top:784.5pt;width:42.45pt;height:24.1pt;z-index:-25155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" filled="f" stroked="f">
              <v:textbox inset="0,0,0,0">
                <w:txbxContent>
                  <w:p w14:paraId="7D52EE41" w14:textId="77777777" w:rsidR="00F40164" w:rsidRDefault="00000000">
                    <w:pPr>
                      <w:spacing w:line="222" w:lineRule="exact"/>
                      <w:ind w:left="18"/>
                      <w:rPr>
                        <w:rFonts w:ascii="Calibri" w:cs="Calibri"/>
                        <w:sz w:val="20"/>
                        <w:szCs w:val="20"/>
                      </w:rPr>
                    </w:pPr>
                    <w:r>
                      <w:rPr>
                        <w:rFonts w:ascii="Calibri" w:cs="Calibri"/>
                        <w:w w:val="72"/>
                        <w:sz w:val="20"/>
                        <w:szCs w:val="20"/>
                        <w:rtl/>
                      </w:rPr>
                      <w:t>رقم</w:t>
                    </w:r>
                    <w:r>
                      <w:rPr>
                        <w:rFonts w:ascii="Calibri" w:cs="Calibri"/>
                        <w:spacing w:val="12"/>
                        <w:sz w:val="20"/>
                        <w:szCs w:val="20"/>
                        <w:rtl/>
                      </w:rPr>
                      <w:t xml:space="preserve"> </w:t>
                    </w:r>
                    <w:r>
                      <w:rPr>
                        <w:rFonts w:ascii="Calibri" w:cs="Calibri"/>
                        <w:w w:val="72"/>
                        <w:sz w:val="20"/>
                        <w:szCs w:val="20"/>
                        <w:rtl/>
                      </w:rPr>
                      <w:t>الصفحة</w:t>
                    </w:r>
                  </w:p>
                  <w:p w14:paraId="718B359C" w14:textId="77777777" w:rsidR="00F40164" w:rsidRDefault="00000000">
                    <w:pPr>
                      <w:spacing w:line="243" w:lineRule="exact"/>
                      <w:ind w:left="77"/>
                      <w:rPr>
                        <w:rFonts w:ascii="Calibri" w:cs="Calibri"/>
                        <w:sz w:val="20"/>
                        <w:szCs w:val="20"/>
                      </w:rPr>
                    </w:pPr>
                    <w:r>
                      <w:rPr>
                        <w:rFonts w:ascii="Calibri" w:cs="Calibri"/>
                        <w:w w:val="96"/>
                        <w:sz w:val="20"/>
                        <w:szCs w:val="20"/>
                      </w:rPr>
                      <w:fldChar w:fldCharType="begin"/>
                    </w:r>
                    <w:r>
                      <w:rPr>
                        <w:rFonts w:ascii="Calibri" w:cs="Calibri"/>
                        <w:w w:val="96"/>
                        <w:sz w:val="20"/>
                        <w:szCs w:val="20"/>
                      </w:rPr>
                      <w:instrText xml:space="preserve"> PAGE </w:instrText>
                    </w:r>
                    <w:r>
                      <w:rPr>
                        <w:rFonts w:ascii="Calibri" w:cs="Calibri"/>
                        <w:w w:val="96"/>
                        <w:sz w:val="20"/>
                        <w:szCs w:val="20"/>
                      </w:rPr>
                      <w:fldChar w:fldCharType="separate"/>
                    </w:r>
                    <w:r>
                      <w:rPr>
                        <w:rFonts w:ascii="Calibri" w:cs="Calibri"/>
                        <w:w w:val="96"/>
                        <w:sz w:val="20"/>
                        <w:szCs w:val="20"/>
                      </w:rPr>
                      <w:t>27</w:t>
                    </w:r>
                    <w:r>
                      <w:rPr>
                        <w:rFonts w:ascii="Calibri" w:cs="Calibri"/>
                        <w:w w:val="96"/>
                        <w:sz w:val="20"/>
                        <w:szCs w:val="20"/>
                      </w:rPr>
                      <w:fldChar w:fldCharType="end"/>
                    </w:r>
                    <w:r>
                      <w:rPr>
                        <w:rFonts w:ascii="Calibri" w:cs="Calibri"/>
                        <w:spacing w:val="5"/>
                        <w:sz w:val="20"/>
                        <w:szCs w:val="20"/>
                        <w:rtl/>
                      </w:rPr>
                      <w:t xml:space="preserve"> </w:t>
                    </w:r>
                    <w:r>
                      <w:rPr>
                        <w:rFonts w:ascii="Calibri" w:cs="Calibri"/>
                        <w:w w:val="96"/>
                        <w:sz w:val="20"/>
                        <w:szCs w:val="20"/>
                        <w:rtl/>
                      </w:rPr>
                      <w:t>من</w:t>
                    </w:r>
                    <w:r>
                      <w:rPr>
                        <w:rFonts w:ascii="Calibri" w:cs="Calibri"/>
                        <w:spacing w:val="6"/>
                        <w:sz w:val="20"/>
                        <w:szCs w:val="20"/>
                        <w:rtl/>
                      </w:rPr>
                      <w:t xml:space="preserve"> </w:t>
                    </w:r>
                    <w:r>
                      <w:rPr>
                        <w:rFonts w:ascii="Calibri" w:cs="Calibri"/>
                        <w:w w:val="96"/>
                        <w:sz w:val="20"/>
                        <w:szCs w:val="20"/>
                      </w:rPr>
                      <w:t>32</w:t>
                    </w:r>
                  </w:p>
                </w:txbxContent>
              </v:textbox>
              <w10:wrap anchorx="page" anchory="page"/>
            </v:shape>
          </w:pict>
        </mc:Fallback>
      </mc:AlternateContent>
    </w:r>
    <w:r>
      <w:rPr>
        <w:noProof/>
        <w:sz w:val="20"/>
      </w:rPr>
      <mc:AlternateContent>
        <mc:Choice Requires="wps">
          <w:drawing>
            <wp:anchor distT="0" distB="0" distL="0" distR="0" simplePos="0" relativeHeight="251764736" behindDoc="1" locked="0" layoutInCell="1" allowOverlap="1" wp14:anchorId="1F1B9216" wp14:editId="7FC01959">
              <wp:simplePos x="0" y="0"/>
              <wp:positionH relativeFrom="page">
                <wp:posOffset>752652</wp:posOffset>
              </wp:positionH>
              <wp:positionV relativeFrom="page">
                <wp:posOffset>10012229</wp:posOffset>
              </wp:positionV>
              <wp:extent cx="1238250" cy="17907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179070"/>
                      </a:xfrm>
                      <a:prstGeom prst="rect">
                        <a:avLst/>
                      </a:prstGeom>
                    </wps:spPr>
                    <wps:txbx>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1F1B9216" id="Textbox 159" o:spid="_x0000_s1028" type="#_x0000_t202" style="position:absolute;left:0;text-align:left;margin-left:59.25pt;margin-top:788.35pt;width:97.5pt;height:14.1pt;z-index:-25155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" filled="f" stroked="f">
              <v:textbox inset="0,0,0,0">
                <w:txbxContent>
                  <w:p w14:paraId="55ED564B" w14:textId="77777777" w:rsidR="00F40164" w:rsidRDefault="00000000">
                    <w:pPr>
                      <w:spacing w:before="11"/>
                      <w:ind w:left="18" w:right="20"/>
                      <w:rPr>
                        <w:rFonts w:ascii="Times New Roman" w:cs="Times New Roman"/>
                        <w:position w:val="1"/>
                        <w:sz w:val="20"/>
                        <w:szCs w:val="20"/>
                      </w:rPr>
                    </w:pPr>
                    <w:r>
                      <w:rPr>
                        <w:rFonts w:ascii="Calibri" w:cs="Calibri"/>
                        <w:w w:val="74"/>
                        <w:sz w:val="20"/>
                        <w:szCs w:val="20"/>
                        <w:rtl/>
                      </w:rPr>
                      <w:t>رقم</w:t>
                    </w:r>
                    <w:r>
                      <w:rPr>
                        <w:rFonts w:ascii="Calibri" w:cs="Calibri"/>
                        <w:spacing w:val="3"/>
                        <w:sz w:val="20"/>
                        <w:szCs w:val="20"/>
                        <w:rtl/>
                      </w:rPr>
                      <w:t xml:space="preserve"> </w:t>
                    </w:r>
                    <w:r>
                      <w:rPr>
                        <w:rFonts w:ascii="Calibri" w:cs="Calibri"/>
                        <w:w w:val="74"/>
                        <w:sz w:val="20"/>
                        <w:szCs w:val="20"/>
                        <w:rtl/>
                      </w:rPr>
                      <w:t>الكراسة</w:t>
                    </w:r>
                    <w:r>
                      <w:rPr>
                        <w:rFonts w:ascii="Calibri" w:cs="Calibri"/>
                        <w:w w:val="74"/>
                        <w:position w:val="1"/>
                        <w:sz w:val="20"/>
                        <w:szCs w:val="20"/>
                      </w:rPr>
                      <w:t>:</w:t>
                    </w:r>
                    <w:r>
                      <w:rPr>
                        <w:rFonts w:ascii="Times New Roman" w:cs="Times New Roman"/>
                        <w:spacing w:val="63"/>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69856" behindDoc="1" locked="0" layoutInCell="1" allowOverlap="1" wp14:anchorId="079976DA" wp14:editId="25714511">
              <wp:simplePos x="0" y="0"/>
              <wp:positionH relativeFrom="page">
                <wp:posOffset>3930777</wp:posOffset>
              </wp:positionH>
              <wp:positionV relativeFrom="page">
                <wp:posOffset>10012229</wp:posOffset>
              </wp:positionV>
              <wp:extent cx="1326515" cy="17907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6515" cy="179070"/>
                      </a:xfrm>
                      <a:prstGeom prst="rect">
                        <a:avLst/>
                      </a:prstGeom>
                    </wps:spPr>
                    <wps:txbx>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wps:txbx>
                    <wps:bodyPr wrap="square" lIns="0" tIns="0" rIns="0" bIns="0" rtlCol="0">
                      <a:noAutofit/>
                    </wps:bodyPr>
                  </wps:wsp>
                </a:graphicData>
              </a:graphic>
            </wp:anchor>
          </w:drawing>
        </mc:Choice>
        <mc:Fallback>
          <w:pict>
            <v:shape w14:anchorId="079976DA" id="Textbox 160" o:spid="_x0000_s1029" type="#_x0000_t202" style="position:absolute;left:0;text-align:left;margin-left:309.5pt;margin-top:788.35pt;width:104.45pt;height:14.1pt;z-index:-2515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Hv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" filled="f" stroked="f">
              <v:textbox inset="0,0,0,0">
                <w:txbxContent>
                  <w:p w14:paraId="60199E46" w14:textId="77777777" w:rsidR="00F40164" w:rsidRDefault="00000000">
                    <w:pPr>
                      <w:spacing w:before="11"/>
                      <w:ind w:left="18" w:right="20"/>
                      <w:rPr>
                        <w:rFonts w:ascii="Times New Roman" w:hAnsi="Times New Roman" w:cs="Times New Roman"/>
                        <w:position w:val="1"/>
                        <w:sz w:val="20"/>
                        <w:szCs w:val="20"/>
                      </w:rPr>
                    </w:pPr>
                    <w:r>
                      <w:rPr>
                        <w:rFonts w:ascii="Calibri" w:hAnsi="Calibri" w:cs="Calibri"/>
                        <w:w w:val="56"/>
                        <w:sz w:val="20"/>
                        <w:szCs w:val="20"/>
                        <w:rtl/>
                      </w:rPr>
                      <w:t>تاري</w:t>
                    </w:r>
                    <w:r>
                      <w:rPr>
                        <w:rFonts w:ascii="Calibri" w:hAnsi="Calibri" w:cs="Calibri"/>
                        <w:w w:val="56"/>
                        <w:sz w:val="20"/>
                        <w:szCs w:val="20"/>
                      </w:rPr>
                      <w:t>••••</w:t>
                    </w:r>
                    <w:r>
                      <w:rPr>
                        <w:rFonts w:ascii="Calibri" w:hAnsi="Calibri" w:cs="Calibri"/>
                        <w:w w:val="56"/>
                        <w:sz w:val="20"/>
                        <w:szCs w:val="20"/>
                        <w:rtl/>
                      </w:rPr>
                      <w:t>خ</w:t>
                    </w:r>
                    <w:r>
                      <w:rPr>
                        <w:rFonts w:ascii="Calibri" w:hAnsi="Calibri" w:cs="Calibri"/>
                        <w:spacing w:val="7"/>
                        <w:sz w:val="20"/>
                        <w:szCs w:val="20"/>
                        <w:rtl/>
                      </w:rPr>
                      <w:t xml:space="preserve"> </w:t>
                    </w:r>
                    <w:r>
                      <w:rPr>
                        <w:rFonts w:ascii="Calibri" w:hAnsi="Calibri" w:cs="Calibri"/>
                        <w:w w:val="56"/>
                        <w:sz w:val="20"/>
                        <w:szCs w:val="20"/>
                        <w:rtl/>
                      </w:rPr>
                      <w:t>الإصدار</w:t>
                    </w:r>
                    <w:r>
                      <w:rPr>
                        <w:rFonts w:ascii="Calibri" w:hAnsi="Calibri" w:cs="Calibri"/>
                        <w:w w:val="56"/>
                        <w:position w:val="1"/>
                        <w:sz w:val="20"/>
                        <w:szCs w:val="20"/>
                      </w:rPr>
                      <w:t>:</w:t>
                    </w:r>
                    <w:r>
                      <w:rPr>
                        <w:rFonts w:ascii="Times New Roman" w:hAnsi="Times New Roman" w:cs="Times New Roman"/>
                        <w:spacing w:val="64"/>
                        <w:w w:val="150"/>
                        <w:position w:val="1"/>
                        <w:sz w:val="20"/>
                        <w:szCs w:val="20"/>
                        <w:u w:val="single"/>
                        <w:rtl/>
                      </w:rPr>
                      <w:t xml:space="preserve">        </w:t>
                    </w:r>
                  </w:p>
                </w:txbxContent>
              </v:textbox>
              <w10:wrap anchorx="page" anchory="page"/>
            </v:shape>
          </w:pict>
        </mc:Fallback>
      </mc:AlternateContent>
    </w:r>
    <w:r>
      <w:rPr>
        <w:noProof/>
        <w:sz w:val="20"/>
      </w:rPr>
      <mc:AlternateContent>
        <mc:Choice Requires="wps">
          <w:drawing>
            <wp:anchor distT="0" distB="0" distL="0" distR="0" simplePos="0" relativeHeight="251774976" behindDoc="1" locked="0" layoutInCell="1" allowOverlap="1" wp14:anchorId="057355AD" wp14:editId="34AA7FAD">
              <wp:simplePos x="0" y="0"/>
              <wp:positionH relativeFrom="page">
                <wp:posOffset>2583307</wp:posOffset>
              </wp:positionH>
              <wp:positionV relativeFrom="page">
                <wp:posOffset>10030078</wp:posOffset>
              </wp:positionV>
              <wp:extent cx="800735" cy="16129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161290"/>
                      </a:xfrm>
                      <a:prstGeom prst="rect">
                        <a:avLst/>
                      </a:prstGeom>
                    </wps:spPr>
                    <wps:txbx>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wps:txbx>
                    <wps:bodyPr wrap="square" lIns="0" tIns="0" rIns="0" bIns="0" rtlCol="0">
                      <a:noAutofit/>
                    </wps:bodyPr>
                  </wps:wsp>
                </a:graphicData>
              </a:graphic>
            </wp:anchor>
          </w:drawing>
        </mc:Choice>
        <mc:Fallback>
          <w:pict>
            <v:shape w14:anchorId="057355AD" id="Textbox 161" o:spid="_x0000_s1030" type="#_x0000_t202" style="position:absolute;left:0;text-align:left;margin-left:203.4pt;margin-top:789.75pt;width:63.05pt;height:12.7pt;z-index:-25154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RomAEAACE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" filled="f" stroked="f">
              <v:textbox inset="0,0,0,0">
                <w:txbxContent>
                  <w:p w14:paraId="2D1305A4" w14:textId="77777777" w:rsidR="00F40164" w:rsidRDefault="00000000">
                    <w:pPr>
                      <w:spacing w:line="238" w:lineRule="exact"/>
                      <w:ind w:left="18"/>
                      <w:rPr>
                        <w:rFonts w:ascii="Calibri" w:cs="Calibri"/>
                        <w:sz w:val="20"/>
                        <w:szCs w:val="20"/>
                      </w:rPr>
                    </w:pPr>
                    <w:r>
                      <w:rPr>
                        <w:rFonts w:ascii="Calibri" w:cs="Calibri"/>
                        <w:w w:val="81"/>
                        <w:sz w:val="20"/>
                        <w:szCs w:val="20"/>
                        <w:rtl/>
                      </w:rPr>
                      <w:t>رقم</w:t>
                    </w:r>
                    <w:r>
                      <w:rPr>
                        <w:rFonts w:ascii="Calibri" w:cs="Calibri"/>
                        <w:spacing w:val="13"/>
                        <w:sz w:val="20"/>
                        <w:szCs w:val="20"/>
                        <w:rtl/>
                      </w:rPr>
                      <w:t xml:space="preserve"> </w:t>
                    </w:r>
                    <w:r>
                      <w:rPr>
                        <w:rFonts w:ascii="Calibri" w:cs="Calibri"/>
                        <w:w w:val="81"/>
                        <w:sz w:val="20"/>
                        <w:szCs w:val="20"/>
                        <w:rtl/>
                      </w:rPr>
                      <w:t>النسخة</w:t>
                    </w:r>
                    <w:r>
                      <w:rPr>
                        <w:rFonts w:ascii="Calibri" w:cs="Calibri"/>
                        <w:w w:val="81"/>
                        <w:position w:val="1"/>
                        <w:sz w:val="20"/>
                        <w:szCs w:val="20"/>
                      </w:rPr>
                      <w:t>:</w:t>
                    </w:r>
                    <w:r>
                      <w:rPr>
                        <w:rFonts w:ascii="Calibri" w:cs="Calibri"/>
                        <w:spacing w:val="12"/>
                        <w:sz w:val="20"/>
                        <w:szCs w:val="20"/>
                        <w:rtl/>
                      </w:rPr>
                      <w:t xml:space="preserve"> </w:t>
                    </w:r>
                    <w:r>
                      <w:rPr>
                        <w:rFonts w:ascii="Calibri" w:cs="Calibri"/>
                        <w:w w:val="81"/>
                        <w:sz w:val="20"/>
                        <w:szCs w:val="20"/>
                        <w:rtl/>
                      </w:rPr>
                      <w:t>الأول</w:t>
                    </w:r>
                  </w:p>
                </w:txbxContent>
              </v:textbox>
              <w10:wrap anchorx="page" anchory="page"/>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078FC" w14:textId="2C99D85A" w:rsidR="00F40164" w:rsidRDefault="00210894" w:rsidP="00F8060A">
    <w:pPr>
      <w:pStyle w:val="BodyText"/>
      <w:spacing w:line="14" w:lineRule="auto"/>
      <w:jc w:val="right"/>
      <w:rPr>
        <w:sz w:val="20"/>
      </w:rPr>
    </w:pPr>
    <w:r w:rsidRPr="00210894">
      <w:rPr>
        <w:noProof/>
      </w:rPr>
      <w:drawing>
        <wp:anchor distT="0" distB="0" distL="114300" distR="114300" simplePos="0" relativeHeight="251778048" behindDoc="1" locked="0" layoutInCell="1" allowOverlap="1" wp14:anchorId="3A80225A" wp14:editId="77121720">
          <wp:simplePos x="0" y="0"/>
          <wp:positionH relativeFrom="column">
            <wp:posOffset>-477520</wp:posOffset>
          </wp:positionH>
          <wp:positionV relativeFrom="paragraph">
            <wp:posOffset>35560</wp:posOffset>
          </wp:positionV>
          <wp:extent cx="1741361" cy="601382"/>
          <wp:effectExtent l="0" t="0" r="0" b="8255"/>
          <wp:wrapTight wrapText="bothSides">
            <wp:wrapPolygon edited="0">
              <wp:start x="16306" y="0"/>
              <wp:lineTo x="8508" y="4106"/>
              <wp:lineTo x="2600" y="8895"/>
              <wp:lineTo x="2363" y="17107"/>
              <wp:lineTo x="6381" y="20528"/>
              <wp:lineTo x="12053" y="21212"/>
              <wp:lineTo x="14179" y="21212"/>
              <wp:lineTo x="15361" y="20528"/>
              <wp:lineTo x="18670" y="13685"/>
              <wp:lineTo x="18906" y="11633"/>
              <wp:lineTo x="17724" y="0"/>
              <wp:lineTo x="16306" y="0"/>
            </wp:wrapPolygon>
          </wp:wrapTight>
          <wp:docPr id="195315678" name="Picture 10" descr="A black background with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678" name="Picture 10" descr="A black background with green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361" cy="601382"/>
                  </a:xfrm>
                  <a:prstGeom prst="rect">
                    <a:avLst/>
                  </a:prstGeom>
                  <a:noFill/>
                  <a:ln>
                    <a:noFill/>
                  </a:ln>
                </pic:spPr>
              </pic:pic>
            </a:graphicData>
          </a:graphic>
        </wp:anchor>
      </w:drawing>
    </w:r>
    <w:r w:rsidR="00F8060A">
      <w:rPr>
        <w:noProof/>
        <w:sz w:val="20"/>
      </w:rPr>
      <mc:AlternateContent>
        <mc:Choice Requires="wps">
          <w:drawing>
            <wp:anchor distT="0" distB="0" distL="0" distR="0" simplePos="0" relativeHeight="251739136" behindDoc="1" locked="0" layoutInCell="1" allowOverlap="1" wp14:anchorId="587D0BC1" wp14:editId="7E71B79E">
              <wp:simplePos x="0" y="0"/>
              <wp:positionH relativeFrom="page">
                <wp:posOffset>5828519</wp:posOffset>
              </wp:positionH>
              <wp:positionV relativeFrom="page">
                <wp:posOffset>197611</wp:posOffset>
              </wp:positionV>
              <wp:extent cx="1162050" cy="67818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678180"/>
                      </a:xfrm>
                      <a:prstGeom prst="rect">
                        <a:avLst/>
                      </a:prstGeom>
                    </wps:spPr>
                    <wps:txbx>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wps:txbx>
                    <wps:bodyPr wrap="square" lIns="0" tIns="0" rIns="0" bIns="0" rtlCol="0">
                      <a:noAutofit/>
                    </wps:bodyPr>
                  </wps:wsp>
                </a:graphicData>
              </a:graphic>
              <wp14:sizeRelH relativeFrom="margin">
                <wp14:pctWidth>0</wp14:pctWidth>
              </wp14:sizeRelH>
            </wp:anchor>
          </w:drawing>
        </mc:Choice>
        <mc:Fallback>
          <w:pict>
            <v:shapetype w14:anchorId="587D0BC1" id="_x0000_t202" coordsize="21600,21600" o:spt="202" path="m,l,21600r21600,l21600,xe">
              <v:stroke joinstyle="miter"/>
              <v:path gradientshapeok="t" o:connecttype="rect"/>
            </v:shapetype>
            <v:shape id="Textbox 154" o:spid="_x0000_s1026" type="#_x0000_t202" style="position:absolute;margin-left:458.95pt;margin-top:15.55pt;width:91.5pt;height:53.4pt;z-index:-2515773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" filled="f" stroked="f">
              <v:textbox inset="0,0,0,0">
                <w:txbxContent>
                  <w:p w14:paraId="1D64A27D" w14:textId="77777777" w:rsidR="00F40164" w:rsidRDefault="00000000">
                    <w:pPr>
                      <w:spacing w:line="245" w:lineRule="exact"/>
                      <w:ind w:left="19"/>
                      <w:rPr>
                        <w:rFonts w:ascii="Calibri" w:cs="Calibri"/>
                      </w:rPr>
                    </w:pPr>
                    <w:r>
                      <w:rPr>
                        <w:rFonts w:ascii="Calibri" w:cs="Calibri"/>
                        <w:w w:val="69"/>
                        <w:rtl/>
                      </w:rPr>
                      <w:t>المملكة</w:t>
                    </w:r>
                    <w:r>
                      <w:rPr>
                        <w:rFonts w:ascii="Calibri" w:cs="Calibri"/>
                        <w:spacing w:val="-12"/>
                        <w:rtl/>
                      </w:rPr>
                      <w:t xml:space="preserve"> </w:t>
                    </w:r>
                    <w:r>
                      <w:rPr>
                        <w:rFonts w:ascii="Calibri" w:cs="Calibri"/>
                        <w:w w:val="69"/>
                        <w:rtl/>
                      </w:rPr>
                      <w:t>العربية</w:t>
                    </w:r>
                    <w:r>
                      <w:rPr>
                        <w:rFonts w:ascii="Calibri" w:cs="Calibri"/>
                        <w:spacing w:val="-13"/>
                        <w:rtl/>
                      </w:rPr>
                      <w:t xml:space="preserve"> </w:t>
                    </w:r>
                    <w:r>
                      <w:rPr>
                        <w:rFonts w:ascii="Calibri" w:cs="Calibri"/>
                        <w:w w:val="69"/>
                        <w:rtl/>
                      </w:rPr>
                      <w:t>السعودية</w:t>
                    </w:r>
                  </w:p>
                  <w:p w14:paraId="38BA5806" w14:textId="77777777" w:rsidR="00F40164" w:rsidRDefault="00000000">
                    <w:pPr>
                      <w:ind w:left="18" w:right="324" w:firstLine="1"/>
                      <w:rPr>
                        <w:rFonts w:ascii="Calibri" w:cs="Calibri"/>
                      </w:rPr>
                    </w:pPr>
                    <w:r>
                      <w:rPr>
                        <w:rFonts w:ascii="Calibri" w:cs="Calibri"/>
                        <w:w w:val="79"/>
                        <w:rtl/>
                      </w:rPr>
                      <w:t>اسم الجهة الحكومية</w:t>
                    </w:r>
                    <w:r>
                      <w:rPr>
                        <w:rFonts w:ascii="Calibri" w:cs="Calibri"/>
                        <w:w w:val="82"/>
                        <w:rtl/>
                      </w:rPr>
                      <w:t xml:space="preserve"> اسم الإدارة</w:t>
                    </w:r>
                  </w:p>
                  <w:p w14:paraId="5FCFA403" w14:textId="77777777" w:rsidR="00F40164" w:rsidRDefault="00000000">
                    <w:pPr>
                      <w:ind w:left="18"/>
                      <w:rPr>
                        <w:rFonts w:ascii="Calibri" w:cs="Calibri"/>
                      </w:rPr>
                    </w:pPr>
                    <w:r>
                      <w:rPr>
                        <w:rFonts w:ascii="Calibri" w:cs="Calibri"/>
                        <w:w w:val="79"/>
                        <w:rtl/>
                      </w:rPr>
                      <w:t>اسم</w:t>
                    </w:r>
                    <w:r>
                      <w:rPr>
                        <w:rFonts w:ascii="Calibri" w:cs="Calibri"/>
                        <w:spacing w:val="-7"/>
                        <w:rtl/>
                      </w:rPr>
                      <w:t xml:space="preserve"> </w:t>
                    </w:r>
                    <w:r>
                      <w:rPr>
                        <w:rFonts w:ascii="Calibri" w:cs="Calibri"/>
                        <w:w w:val="79"/>
                        <w:rtl/>
                      </w:rPr>
                      <w:t>النموذج</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A171F11"/>
    <w:multiLevelType w:val="multilevel"/>
    <w:tmpl w:val="D2CECAF8"/>
    <w:lvl w:ilvl="0">
      <w:start w:val="1"/>
      <w:numFmt w:val="decimal"/>
      <w:lvlText w:val="%1"/>
      <w:lvlJc w:val="left"/>
      <w:pPr>
        <w:ind w:hanging="720" w:left="108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440" w:left="180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2160" w:left="252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
    <w:nsid w:val="1C2F5B8E"/>
    <w:multiLevelType w:val="hybridMultilevel"/>
    <w:tmpl w:val="3D567BA2"/>
    <w:lvl w:ilvl="0" w:tplc="0409000F">
      <w:start w:val="1"/>
      <w:numFmt w:val="decimal"/>
      <w:lvlText w:val="%1."/>
      <w:lvlJc w:val="left"/>
      <w:pPr>
        <w:ind w:hanging="360" w:left="720"/>
      </w:pPr>
      <w:rPr>
        <w:rFont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A920D3A"/>
    <w:multiLevelType w:val="hybridMultilevel"/>
    <w:tmpl w:val="313AF93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55574130"/>
    <w:multiLevelType w:val="hybridMultilevel"/>
    <w:tmpl w:val="0D6AF85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57632652"/>
    <w:multiLevelType w:val="hybridMultilevel"/>
    <w:tmpl w:val="AA9CC8C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7B1228E9"/>
    <w:multiLevelType w:val="hybridMultilevel"/>
    <w:tmpl w:val="62C208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29199021" w:numId="1">
    <w:abstractNumId w:val="3"/>
  </w:num>
  <w:num w16cid:durableId="1476996222" w:numId="2">
    <w:abstractNumId w:val="1"/>
  </w:num>
  <w:num w16cid:durableId="1308706752" w:numId="3">
    <w:abstractNumId w:val="4"/>
  </w:num>
  <w:num w16cid:durableId="1631134389" w:numId="4">
    <w:abstractNumId w:val="0"/>
  </w:num>
  <w:num w16cid:durableId="562252647" w:numId="5">
    <w:abstractNumId w:val="5"/>
  </w:num>
  <w:num w16cid:durableId="679544273" w:numId="6">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val="0004"/>
  <w:doNotTrackMoves/>
  <w:defaultTabStop w:val="720"/>
  <w:drawingGridHorizontalSpacing w:val="110"/>
  <w:drawingGridVerticalSpacing w:val="360"/>
  <w:displayHorizontalDrawingGridEvery w:val="2"/>
  <w:displayVerticalDrawingGridEvery w:val="0"/>
  <w:characterSpacingControl w:val="doNotCompress"/>
  <w:savePreviewPicture/>
  <w:hdrShapeDefaults>
    <o:shapedefaults spidmax="2050" v:ext="edi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64"/>
    <w:rsid w:val="000215E5"/>
    <w:rsid w:val="000333C4"/>
    <w:rsid w:val="00040C75"/>
    <w:rsid w:val="00050C9D"/>
    <w:rsid w:val="00074232"/>
    <w:rsid w:val="00093098"/>
    <w:rsid w:val="000B77E4"/>
    <w:rsid w:val="000D0FF5"/>
    <w:rsid w:val="000F01DF"/>
    <w:rsid w:val="001334A4"/>
    <w:rsid w:val="00157B7C"/>
    <w:rsid w:val="00170AAE"/>
    <w:rsid w:val="001B0909"/>
    <w:rsid w:val="001E2B20"/>
    <w:rsid w:val="001F216E"/>
    <w:rsid w:val="00210894"/>
    <w:rsid w:val="002828B4"/>
    <w:rsid w:val="002D2BCC"/>
    <w:rsid w:val="003B1E43"/>
    <w:rsid w:val="003F4AA1"/>
    <w:rsid w:val="003F696A"/>
    <w:rsid w:val="004D47E1"/>
    <w:rsid w:val="00512827"/>
    <w:rsid w:val="00513F27"/>
    <w:rsid w:val="005158D4"/>
    <w:rsid w:val="005339E6"/>
    <w:rsid w:val="0054760A"/>
    <w:rsid w:val="00556D66"/>
    <w:rsid w:val="005701BB"/>
    <w:rsid w:val="005C7600"/>
    <w:rsid w:val="005E0683"/>
    <w:rsid w:val="00624E7D"/>
    <w:rsid w:val="00626A60"/>
    <w:rsid w:val="006571A3"/>
    <w:rsid w:val="00694F26"/>
    <w:rsid w:val="006C070D"/>
    <w:rsid w:val="006D72D2"/>
    <w:rsid w:val="006E2835"/>
    <w:rsid w:val="00786A83"/>
    <w:rsid w:val="007F7C65"/>
    <w:rsid w:val="00831235"/>
    <w:rsid w:val="00872D5B"/>
    <w:rsid w:val="008E0C48"/>
    <w:rsid w:val="00923E70"/>
    <w:rsid w:val="009B51AD"/>
    <w:rsid w:val="009D67B4"/>
    <w:rsid w:val="009E3CD4"/>
    <w:rsid w:val="00A20717"/>
    <w:rsid w:val="00AC7345"/>
    <w:rsid w:val="00AF7630"/>
    <w:rsid w:val="00B12C98"/>
    <w:rsid w:val="00B840ED"/>
    <w:rsid w:val="00C247F1"/>
    <w:rsid w:val="00C56EDA"/>
    <w:rsid w:val="00C763E4"/>
    <w:rsid w:val="00C84FE6"/>
    <w:rsid w:val="00CE3CDA"/>
    <w:rsid w:val="00D22F5E"/>
    <w:rsid w:val="00D7444E"/>
    <w:rsid w:val="00DB4E91"/>
    <w:rsid w:val="00E506F9"/>
    <w:rsid w:val="00E774C3"/>
    <w:rsid w:val="00EA154C"/>
    <w:rsid w:val="00EC536C"/>
    <w:rsid w:val="00F24679"/>
    <w:rsid w:val="00F40164"/>
    <w:rsid w:val="00F8060A"/>
    <w:rsid w:val="00FF2D5C"/>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jc w:val="right"/>
      </w:pPr>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5E0683"/>
    <w:pPr>
      <w:bidi/>
      <w:jc w:val="left"/>
    </w:pPr>
    <w:rPr>
      <w:rFonts w:ascii="Noto Naskh Arabic" w:cs="Tahoma" w:eastAsia="Tahoma" w:hAnsi="Noto Naskh Arabic"/>
      <w:sz w:val="32"/>
    </w:rPr>
  </w:style>
  <w:style w:styleId="Heading1" w:type="paragraph">
    <w:name w:val="heading 1"/>
    <w:basedOn w:val="Normal"/>
    <w:link w:val="Heading1Char"/>
    <w:uiPriority w:val="9"/>
    <w:qFormat/>
    <w:pPr>
      <w:spacing w:before="95"/>
      <w:ind w:right="429"/>
      <w:outlineLvl w:val="0"/>
    </w:pPr>
    <w:rPr>
      <w:rFonts w:ascii="Arial" w:cs="Arial" w:eastAsia="Arial" w:hAnsi="Arial"/>
      <w:b/>
      <w:bCs/>
      <w:szCs w:val="32"/>
    </w:rPr>
  </w:style>
  <w:style w:styleId="Heading2" w:type="paragraph">
    <w:name w:val="heading 2"/>
    <w:basedOn w:val="Normal"/>
    <w:link w:val="Heading2Char"/>
    <w:uiPriority w:val="9"/>
    <w:unhideWhenUsed/>
    <w:qFormat/>
    <w:pPr>
      <w:spacing w:before="78"/>
      <w:ind w:left="95" w:right="64"/>
      <w:outlineLvl w:val="1"/>
    </w:pPr>
    <w:rPr>
      <w:rFonts w:ascii="Arial" w:cs="Arial" w:eastAsia="Arial" w:hAnsi="Arial"/>
      <w:b/>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uiPriority w:val="1"/>
    <w:qFormat/>
    <w:rsid w:val="005E0683"/>
    <w:rPr>
      <w:sz w:val="24"/>
      <w:szCs w:val="24"/>
    </w:rPr>
  </w:style>
  <w:style w:styleId="ListParagraph" w:type="paragraph">
    <w:name w:val="List Paragraph"/>
    <w:basedOn w:val="Normal"/>
    <w:uiPriority w:val="1"/>
    <w:qFormat/>
    <w:rsid w:val="002828B4"/>
    <w:pPr>
      <w:ind w:left="2880"/>
    </w:pPr>
    <w:rPr>
      <w:rFonts w:asciiTheme="majorHAnsi" w:hAnsiTheme="majorHAnsi"/>
    </w:rPr>
  </w:style>
  <w:style w:customStyle="1" w:styleId="TableParagraph" w:type="paragraph">
    <w:name w:val="Table Paragraph"/>
    <w:basedOn w:val="Normal"/>
    <w:uiPriority w:val="1"/>
    <w:qFormat/>
    <w:pPr>
      <w:spacing w:before="56"/>
      <w:ind w:right="47"/>
    </w:pPr>
    <w:rPr>
      <w:rFonts w:ascii="Times New Roman" w:cs="Times New Roman" w:eastAsia="Times New Roman" w:hAnsi="Times New Roman"/>
    </w:rPr>
  </w:style>
  <w:style w:styleId="Header" w:type="paragraph">
    <w:name w:val="header"/>
    <w:basedOn w:val="Normal"/>
    <w:link w:val="HeaderChar"/>
    <w:uiPriority w:val="99"/>
    <w:unhideWhenUsed/>
    <w:rsid w:val="006D72D2"/>
    <w:pPr>
      <w:tabs>
        <w:tab w:pos="4680" w:val="center"/>
        <w:tab w:pos="9360" w:val="right"/>
      </w:tabs>
    </w:pPr>
  </w:style>
  <w:style w:customStyle="1" w:styleId="HeaderChar" w:type="character">
    <w:name w:val="Header Char"/>
    <w:basedOn w:val="DefaultParagraphFont"/>
    <w:link w:val="Header"/>
    <w:uiPriority w:val="99"/>
    <w:rsid w:val="006D72D2"/>
    <w:rPr>
      <w:rFonts w:ascii="Tahoma" w:cs="Tahoma" w:eastAsia="Tahoma" w:hAnsi="Tahoma"/>
    </w:rPr>
  </w:style>
  <w:style w:styleId="Footer" w:type="paragraph">
    <w:name w:val="footer"/>
    <w:basedOn w:val="Normal"/>
    <w:link w:val="FooterChar"/>
    <w:uiPriority w:val="99"/>
    <w:unhideWhenUsed/>
    <w:rsid w:val="006D72D2"/>
    <w:pPr>
      <w:tabs>
        <w:tab w:pos="4680" w:val="center"/>
        <w:tab w:pos="9360" w:val="right"/>
      </w:tabs>
    </w:pPr>
  </w:style>
  <w:style w:customStyle="1" w:styleId="FooterChar" w:type="character">
    <w:name w:val="Footer Char"/>
    <w:basedOn w:val="DefaultParagraphFont"/>
    <w:link w:val="Footer"/>
    <w:uiPriority w:val="99"/>
    <w:rsid w:val="006D72D2"/>
    <w:rPr>
      <w:rFonts w:ascii="Tahoma" w:cs="Tahoma" w:eastAsia="Tahoma" w:hAnsi="Tahoma"/>
    </w:rPr>
  </w:style>
  <w:style w:customStyle="1" w:styleId="Heading1Char" w:type="character">
    <w:name w:val="Heading 1 Char"/>
    <w:basedOn w:val="DefaultParagraphFont"/>
    <w:link w:val="Heading1"/>
    <w:uiPriority w:val="9"/>
    <w:rsid w:val="00556D66"/>
    <w:rPr>
      <w:rFonts w:ascii="Arial" w:cs="Arial" w:eastAsia="Arial" w:hAnsi="Arial"/>
      <w:b/>
      <w:bCs/>
      <w:sz w:val="32"/>
      <w:szCs w:val="32"/>
    </w:rPr>
  </w:style>
  <w:style w:customStyle="1" w:styleId="Heading2Char" w:type="character">
    <w:name w:val="Heading 2 Char"/>
    <w:basedOn w:val="DefaultParagraphFont"/>
    <w:link w:val="Heading2"/>
    <w:uiPriority w:val="9"/>
    <w:rsid w:val="00556D66"/>
    <w:rPr>
      <w:rFonts w:ascii="Arial" w:cs="Arial" w:eastAsia="Arial" w:hAnsi="Arial"/>
      <w:b/>
      <w:bCs/>
      <w:sz w:val="24"/>
      <w:szCs w:val="24"/>
    </w:rPr>
  </w:style>
  <w:style w:customStyle="1" w:styleId="nemroStyle" w:type="table">
    <w:name w:val="nemro_Style"/>
    <w:basedOn w:val="TableNormal"/>
    <w:uiPriority w:val="99"/>
    <w:rsid w:val="00E506F9"/>
    <w:pPr>
      <w:jc w:val="left"/>
    </w:pPr>
    <w:tblPr>
      <w:tblBorders>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basedOn w:val="TableProfessional"/>
    <w:uiPriority w:val="99"/>
    <w:rsid w:val="005C7600"/>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Professional" w:type="table">
    <w:name w:val="Table Professional"/>
    <w:basedOn w:val="TableNormal"/>
    <w:uiPriority w:val="99"/>
    <w:semiHidden/>
    <w:unhideWhenUsed/>
    <w:rsid w:val="005C7600"/>
    <w:pPr>
      <w:bidi/>
      <w:jc w:val="left"/>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Grid" w:type="table">
    <w:name w:val="Table Grid"/>
    <w:basedOn w:val="TableList2"/>
    <w:uiPriority w:val="39"/>
    <w:rsid w:val="00A2071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A20717"/>
    <w:pPr>
      <w:bidi/>
      <w:jc w:val="left"/>
    </w:p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094274">
      <w:bodyDiv w:val="1"/>
      <w:marLeft w:val="0"/>
      <w:marRight w:val="0"/>
      <w:marTop w:val="0"/>
      <w:marBottom w:val="0"/>
      <w:divBdr>
        <w:top w:val="none" w:sz="0" w:space="0" w:color="auto"/>
        <w:left w:val="none" w:sz="0" w:space="0" w:color="auto"/>
        <w:bottom w:val="none" w:sz="0" w:space="0" w:color="auto"/>
        <w:right w:val="none" w:sz="0" w:space="0" w:color="auto"/>
      </w:divBdr>
    </w:div>
    <w:div w:id="167988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2025-04-22T17:20:08Z</dcterms:created>
  <dcterms:modified xsi:type="dcterms:W3CDTF">2025-04-22T17:20:08Z</dcterms:modified>
</cp:coreProperties>
</file>

<file path=docProps/custom.xml><?xml version="1.0" encoding="utf-8"?>
<Properties xmlns="http://schemas.openxmlformats.org/officeDocument/2006/custom-properties" xmlns:vt="http://schemas.openxmlformats.org/officeDocument/2006/docPropsVTypes"/>
</file>