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القسم-الأول-مقدمة"/>
    <w:p>
      <w:pPr>
        <w:pStyle w:val="Heading2"/>
      </w:pPr>
      <w:r>
        <w:rPr>
          <w:rStyle w:val="SectionNumber"/>
        </w:rPr>
        <w:t xml:space="preserve">1</w:t>
      </w:r>
      <w:r>
        <w:tab/>
      </w:r>
      <w:r>
        <w:t xml:space="preserve"> </w:t>
      </w:r>
      <w:r>
        <w:t xml:space="preserve">القسم الأول: مقدمة</w:t>
      </w:r>
      <w:r>
        <w:t xml:space="preserve"> </w:t>
      </w:r>
    </w:p>
    <w:bookmarkStart w:id="20" w:name="تعريفات"/>
    <w:p>
      <w:pPr>
        <w:pStyle w:val="Heading3"/>
      </w:pPr>
      <w:r>
        <w:rPr>
          <w:rStyle w:val="SectionNumber"/>
        </w:rPr>
        <w:t xml:space="preserve">1.1</w:t>
      </w:r>
      <w:r>
        <w:tab/>
      </w:r>
      <w:r>
        <w:t xml:space="preserve">تعريفات</w:t>
      </w:r>
    </w:p>
    <w:p>
      <w:r>
        <w:pict>
          <v:rect style="width:0;height:1.5pt" o:hralign="center" o:hrstd="t" o:hr="t"/>
        </w:pict>
      </w:r>
    </w:p>
    <w:bookmarkEnd w:id="20"/>
    <w:bookmarkEnd w:id="21"/>
    <w:bookmarkStart w:id="23" w:name="القسم-الثاني-نطاق-العمل"/>
    <w:p>
      <w:pPr>
        <w:pStyle w:val="Heading2"/>
      </w:pPr>
      <w:r>
        <w:rPr>
          <w:rStyle w:val="SectionNumber"/>
        </w:rPr>
        <w:t xml:space="preserve">2</w:t>
      </w:r>
      <w:r>
        <w:tab/>
      </w:r>
      <w:r>
        <w:t xml:space="preserve"> </w:t>
      </w:r>
      <w:r>
        <w:t xml:space="preserve">القسم الثاني: نطاق العمل</w:t>
      </w:r>
      <w:r>
        <w:t xml:space="preserve"> </w:t>
      </w:r>
    </w:p>
    <w:bookmarkStart w:id="22" w:name="وصف-المشروع"/>
    <w:p>
      <w:pPr>
        <w:pStyle w:val="Heading3"/>
      </w:pPr>
      <w:r>
        <w:rPr>
          <w:rStyle w:val="SectionNumber"/>
        </w:rPr>
        <w:t xml:space="preserve">2.1</w:t>
      </w:r>
      <w:r>
        <w:tab/>
      </w:r>
      <w:r>
        <w:t xml:space="preserve">وصف المشروع</w:t>
      </w:r>
    </w:p>
    <w:p>
      <w:r>
        <w:pict>
          <v:rect style="width:0;height:1.5pt" o:hralign="center" o:hrstd="t" o:hr="t"/>
        </w:pict>
      </w:r>
    </w:p>
    <w:bookmarkEnd w:id="22"/>
    <w:bookmarkEnd w:id="23"/>
    <w:bookmarkStart w:id="25" w:name="القسم-الثالث-معايير-المؤهلات"/>
    <w:p>
      <w:pPr>
        <w:pStyle w:val="Heading2"/>
      </w:pPr>
      <w:r>
        <w:rPr>
          <w:rStyle w:val="SectionNumber"/>
        </w:rPr>
        <w:t xml:space="preserve">3</w:t>
      </w:r>
      <w:r>
        <w:tab/>
      </w:r>
      <w:r>
        <w:t xml:space="preserve"> </w:t>
      </w:r>
      <w:r>
        <w:t xml:space="preserve">القسم الثالث: معايير المؤهلات</w:t>
      </w:r>
      <w:r>
        <w:t xml:space="preserve"> </w:t>
      </w:r>
    </w:p>
    <w:bookmarkStart w:id="24" w:name="المؤهلات-الفنية"/>
    <w:p>
      <w:pPr>
        <w:pStyle w:val="Heading3"/>
      </w:pPr>
      <w:r>
        <w:rPr>
          <w:rStyle w:val="SectionNumber"/>
        </w:rPr>
        <w:t xml:space="preserve">3.1</w:t>
      </w:r>
      <w:r>
        <w:tab/>
      </w:r>
      <w:r>
        <w:t xml:space="preserve">المؤهلات الفنية</w:t>
      </w:r>
    </w:p>
    <w:p>
      <w:r>
        <w:pict>
          <v:rect style="width:0;height:1.5pt" o:hralign="center" o:hrstd="t" o:hr="t"/>
        </w:pict>
      </w:r>
    </w:p>
    <w:bookmarkEnd w:id="24"/>
    <w:bookmarkEnd w:id="25"/>
    <w:bookmarkStart w:id="27" w:name="القسم-الرابع-متطلبات-تقديم-العروض"/>
    <w:p>
      <w:pPr>
        <w:pStyle w:val="Heading2"/>
      </w:pPr>
      <w:r>
        <w:rPr>
          <w:rStyle w:val="SectionNumber"/>
        </w:rPr>
        <w:t xml:space="preserve">4</w:t>
      </w:r>
      <w:r>
        <w:tab/>
      </w:r>
      <w:r>
        <w:t xml:space="preserve"> </w:t>
      </w:r>
      <w:r>
        <w:t xml:space="preserve">القسم الرابع: متطلبات تقديم العروض</w:t>
      </w:r>
      <w:r>
        <w:t xml:space="preserve"> </w:t>
      </w:r>
    </w:p>
    <w:bookmarkStart w:id="26" w:name="صيغة-العرض"/>
    <w:p>
      <w:pPr>
        <w:pStyle w:val="Heading3"/>
      </w:pPr>
      <w:r>
        <w:rPr>
          <w:rStyle w:val="SectionNumber"/>
        </w:rPr>
        <w:t xml:space="preserve">4.1</w:t>
      </w:r>
      <w:r>
        <w:tab/>
      </w:r>
      <w:r>
        <w:t xml:space="preserve">صيغة العرض</w:t>
      </w:r>
    </w:p>
    <w:p>
      <w:r>
        <w:pict>
          <v:rect style="width:0;height:1.5pt" o:hralign="center" o:hrstd="t" o:hr="t"/>
        </w:pict>
      </w:r>
    </w:p>
    <w:bookmarkEnd w:id="26"/>
    <w:bookmarkEnd w:id="27"/>
    <w:bookmarkStart w:id="29" w:name="القسم-الخامس-معايير-التقييم"/>
    <w:p>
      <w:pPr>
        <w:pStyle w:val="Heading2"/>
      </w:pPr>
      <w:r>
        <w:rPr>
          <w:rStyle w:val="SectionNumber"/>
        </w:rPr>
        <w:t xml:space="preserve">5</w:t>
      </w:r>
      <w:r>
        <w:tab/>
      </w:r>
      <w:r>
        <w:t xml:space="preserve"> </w:t>
      </w:r>
      <w:r>
        <w:t xml:space="preserve">القسم الخامس: معايير التقييم</w:t>
      </w:r>
      <w:r>
        <w:t xml:space="preserve"> </w:t>
      </w:r>
    </w:p>
    <w:bookmarkStart w:id="28" w:name="أسس-التقييم"/>
    <w:p>
      <w:pPr>
        <w:pStyle w:val="Heading3"/>
      </w:pPr>
      <w:r>
        <w:rPr>
          <w:rStyle w:val="SectionNumber"/>
        </w:rPr>
        <w:t xml:space="preserve">5.1</w:t>
      </w:r>
      <w:r>
        <w:tab/>
      </w:r>
      <w:r>
        <w:t xml:space="preserve">أسس التقييم</w:t>
      </w:r>
    </w:p>
    <w:p>
      <w:r>
        <w:pict>
          <v:rect style="width:0;height:1.5pt" o:hralign="center" o:hrstd="t" o:hr="t"/>
        </w:pict>
      </w:r>
    </w:p>
    <w:bookmarkEnd w:id="28"/>
    <w:bookmarkEnd w:id="29"/>
    <w:bookmarkStart w:id="31" w:name="القسم-السادس-الشروط-والأحكام-العامة"/>
    <w:p>
      <w:pPr>
        <w:pStyle w:val="Heading2"/>
      </w:pPr>
      <w:r>
        <w:rPr>
          <w:rStyle w:val="SectionNumber"/>
        </w:rPr>
        <w:t xml:space="preserve">6</w:t>
      </w:r>
      <w:r>
        <w:tab/>
      </w:r>
      <w:r>
        <w:t xml:space="preserve"> </w:t>
      </w:r>
      <w:r>
        <w:t xml:space="preserve">القسم السادس: الشروط والأحكام العامة</w:t>
      </w:r>
      <w:r>
        <w:t xml:space="preserve"> </w:t>
      </w:r>
    </w:p>
    <w:bookmarkStart w:id="30" w:name="الشروط-القانونية"/>
    <w:p>
      <w:pPr>
        <w:pStyle w:val="Heading3"/>
      </w:pPr>
      <w:r>
        <w:rPr>
          <w:rStyle w:val="SectionNumber"/>
        </w:rPr>
        <w:t xml:space="preserve">6.1</w:t>
      </w:r>
      <w:r>
        <w:tab/>
      </w:r>
      <w:r>
        <w:t xml:space="preserve">الشروط القانونية</w:t>
      </w:r>
    </w:p>
    <w:p>
      <w:r>
        <w:pict>
          <v:rect style="width:0;height:1.5pt" o:hralign="center" o:hrstd="t" o:hr="t"/>
        </w:pict>
      </w:r>
    </w:p>
    <w:bookmarkEnd w:id="30"/>
    <w:bookmarkEnd w:id="31"/>
    <w:bookmarkStart w:id="33" w:name="القسم-السابع-العقوبات-والمخالفات"/>
    <w:p>
      <w:pPr>
        <w:pStyle w:val="Heading2"/>
      </w:pPr>
      <w:r>
        <w:rPr>
          <w:rStyle w:val="SectionNumber"/>
        </w:rPr>
        <w:t xml:space="preserve">7</w:t>
      </w:r>
      <w:r>
        <w:tab/>
      </w:r>
      <w:r>
        <w:t xml:space="preserve"> </w:t>
      </w:r>
      <w:r>
        <w:t xml:space="preserve">القسم السابع: العقوبات والمخالفات</w:t>
      </w:r>
      <w:r>
        <w:t xml:space="preserve"> </w:t>
      </w:r>
    </w:p>
    <w:bookmarkStart w:id="32" w:name="العقوبات"/>
    <w:p>
      <w:pPr>
        <w:pStyle w:val="Heading3"/>
      </w:pPr>
      <w:r>
        <w:rPr>
          <w:rStyle w:val="SectionNumber"/>
        </w:rPr>
        <w:t xml:space="preserve">7.1</w:t>
      </w:r>
      <w:r>
        <w:tab/>
      </w:r>
      <w:r>
        <w:t xml:space="preserve">العقوبات</w:t>
      </w:r>
    </w:p>
    <w:p>
      <w:r>
        <w:pict>
          <v:rect style="width:0;height:1.5pt" o:hralign="center" o:hrstd="t" o:hr="t"/>
        </w:pict>
      </w:r>
    </w:p>
    <w:bookmarkEnd w:id="32"/>
    <w:bookmarkEnd w:id="33"/>
    <w:bookmarkStart w:id="35" w:name="القسم-الثامن-الدعم-الفني"/>
    <w:p>
      <w:pPr>
        <w:pStyle w:val="Heading2"/>
      </w:pPr>
      <w:r>
        <w:rPr>
          <w:rStyle w:val="SectionNumber"/>
        </w:rPr>
        <w:t xml:space="preserve">8</w:t>
      </w:r>
      <w:r>
        <w:tab/>
      </w:r>
      <w:r>
        <w:t xml:space="preserve"> </w:t>
      </w:r>
      <w:r>
        <w:t xml:space="preserve">القسم الثامن: الدعم الفني</w:t>
      </w:r>
      <w:r>
        <w:t xml:space="preserve"> </w:t>
      </w:r>
    </w:p>
    <w:bookmarkStart w:id="34" w:name="الدعم-الفني-للمشاركين"/>
    <w:p>
      <w:pPr>
        <w:pStyle w:val="Heading3"/>
      </w:pPr>
      <w:r>
        <w:rPr>
          <w:rStyle w:val="SectionNumber"/>
        </w:rPr>
        <w:t xml:space="preserve">8.1</w:t>
      </w:r>
      <w:r>
        <w:tab/>
      </w:r>
      <w:r>
        <w:t xml:space="preserve">الدعم الفني للمشاركين</w:t>
      </w:r>
    </w:p>
    <w:p>
      <w:r>
        <w:pict>
          <v:rect style="width:0;height:1.5pt" o:hralign="center" o:hrstd="t" o:hr="t"/>
        </w:pict>
      </w:r>
    </w:p>
    <w:bookmarkEnd w:id="34"/>
    <w:bookmarkEnd w:id="35"/>
    <w:bookmarkStart w:id="37" w:name="القسم-التاسع-الجدول-الزمني-للمشروع"/>
    <w:p>
      <w:pPr>
        <w:pStyle w:val="Heading2"/>
      </w:pPr>
      <w:r>
        <w:rPr>
          <w:rStyle w:val="SectionNumber"/>
        </w:rPr>
        <w:t xml:space="preserve">9</w:t>
      </w:r>
      <w:r>
        <w:tab/>
      </w:r>
      <w:r>
        <w:t xml:space="preserve"> </w:t>
      </w:r>
      <w:r>
        <w:t xml:space="preserve">القسم التاسع: الجدول الزمني للمشروع</w:t>
      </w:r>
      <w:r>
        <w:t xml:space="preserve"> </w:t>
      </w:r>
    </w:p>
    <w:bookmarkStart w:id="36" w:name="مدة-التنفيذ"/>
    <w:p>
      <w:pPr>
        <w:pStyle w:val="Heading3"/>
      </w:pPr>
      <w:r>
        <w:rPr>
          <w:rStyle w:val="SectionNumber"/>
        </w:rPr>
        <w:t xml:space="preserve">9.1</w:t>
      </w:r>
      <w:r>
        <w:tab/>
      </w:r>
      <w:r>
        <w:t xml:space="preserve">مدة التنفيذ</w:t>
      </w:r>
    </w:p>
    <w:p>
      <w:r>
        <w:pict>
          <v:rect style="width:0;height:1.5pt" o:hralign="center" o:hrstd="t" o:hr="t"/>
        </w:pict>
      </w:r>
    </w:p>
    <w:bookmarkEnd w:id="36"/>
    <w:bookmarkEnd w:id="37"/>
    <w:bookmarkStart w:id="39" w:name="القسم-العاشر-الاتصال-والمعلومات"/>
    <w:p>
      <w:pPr>
        <w:pStyle w:val="Heading2"/>
      </w:pPr>
      <w:r>
        <w:rPr>
          <w:rStyle w:val="SectionNumber"/>
        </w:rPr>
        <w:t xml:space="preserve">10</w:t>
      </w:r>
      <w:r>
        <w:tab/>
      </w:r>
      <w:r>
        <w:t xml:space="preserve"> </w:t>
      </w:r>
      <w:r>
        <w:t xml:space="preserve">القسم العاشر: الاتصال والمعلومات</w:t>
      </w:r>
      <w:r>
        <w:t xml:space="preserve"> </w:t>
      </w:r>
    </w:p>
    <w:bookmarkStart w:id="38" w:name="بيانات-الاتصال"/>
    <w:p>
      <w:pPr>
        <w:pStyle w:val="Heading3"/>
      </w:pPr>
      <w:r>
        <w:rPr>
          <w:rStyle w:val="SectionNumber"/>
        </w:rPr>
        <w:t xml:space="preserve">10.1</w:t>
      </w:r>
      <w:r>
        <w:tab/>
      </w:r>
      <w:r>
        <w:t xml:space="preserve">بيانات الاتصال</w:t>
      </w:r>
    </w:p>
    <w:p>
      <w:r>
        <w:pict>
          <v:rect style="width:0;height:1.5pt" o:hralign="center" o:hrstd="t" o:hr="t"/>
        </w:pict>
      </w:r>
    </w:p>
    <w:bookmarkEnd w:id="38"/>
    <w:bookmarkEnd w:id="39"/>
    <w:bookmarkStart w:id="41" w:name="القسم-الحادي-عشر-المرفقات"/>
    <w:p>
      <w:pPr>
        <w:pStyle w:val="Heading2"/>
      </w:pPr>
      <w:r>
        <w:rPr>
          <w:rStyle w:val="SectionNumber"/>
        </w:rPr>
        <w:t xml:space="preserve">11</w:t>
      </w:r>
      <w:r>
        <w:tab/>
      </w:r>
      <w:r>
        <w:t xml:space="preserve"> </w:t>
      </w:r>
      <w:r>
        <w:t xml:space="preserve">القسم الحادي عشر: المرفقات</w:t>
      </w:r>
      <w:r>
        <w:t xml:space="preserve"> </w:t>
      </w:r>
    </w:p>
    <w:bookmarkStart w:id="40" w:name="مستندات-إضافية"/>
    <w:p>
      <w:pPr>
        <w:pStyle w:val="Heading3"/>
      </w:pPr>
      <w:r>
        <w:rPr>
          <w:rStyle w:val="SectionNumber"/>
        </w:rPr>
        <w:t xml:space="preserve">11.1</w:t>
      </w:r>
      <w:r>
        <w:tab/>
      </w:r>
      <w:r>
        <w:t xml:space="preserve">مستندات إضافية</w:t>
      </w:r>
    </w:p>
    <w:bookmarkEnd w:id="40"/>
    <w:bookmarkEnd w:id="41"/>
    <w:p>
      <w:r>
        <w:br w:type="page"/>
      </w:r>
    </w:p>
    <w:sectPr w:rsidR="002828B4" w:rsidRPr="002828B4">
      <w:headerReference r:id="rId9" w:type="default"/>
      <w:footerReference r:id="rId10" w:type="default"/>
      <w:pgSz w:h="16840" w:w="11910"/>
      <w:pgMar w:bottom="1100" w:footer="901" w:gutter="0" w:header="304" w:left="992" w:right="850" w:top="1600"/>
      <w:cols w:space="720"/>
    </w:sectPr>
    <w:p>
      <w:pPr>
        <w:pStyle w:val="SourceCode"/>
      </w:pPr>
      <w:r>
        <w:rPr>
          <w:rStyle w:val="VerbatimChar"/>
        </w:rPr>
        <w:t xml:space="preserve">                اسم الكراسة: final_sample</w:t>
      </w:r>
      <w:r>
        <w:br/>
      </w:r>
      <w:r>
        <w:rPr>
          <w:rStyle w:val="VerbatimChar"/>
        </w:rPr>
        <w:t xml:space="preserve">                أهداف المنافسة: a simple rfp for the installation of generation of revenue through solar power all over the country</w:t>
      </w:r>
      <w:r>
        <w:br/>
      </w:r>
      <w:r>
        <w:rPr>
          <w:rStyle w:val="VerbatimChar"/>
        </w:rPr>
        <w:t xml:space="preserve">                وصف المنافسة: a simple rfp for the installation of generation of revenue through solar power all over the country</w:t>
      </w:r>
      <w:r>
        <w:br/>
      </w:r>
      <w:r>
        <w:rPr>
          <w:rStyle w:val="VerbatimChar"/>
        </w:rPr>
        <w:t xml:space="preserve">                البريد الإلكتروني: m@123.com</w:t>
      </w:r>
      <w:r>
        <w:br/>
      </w:r>
      <w:r>
        <w:rPr>
          <w:rStyle w:val="VerbatimChar"/>
        </w:rPr>
        <w:t xml:space="preserve">            </w:t>
      </w:r>
    </w:p>
    <w:p>
      <w:pPr>
        <w:pStyle w:val="FirstParagraph"/>
      </w:pPr>
      <w:r>
        <w:rPr>
          <w:b/>
          <w:bCs/>
        </w:rPr>
        <w:t xml:space="preserve">القسم الأول: مقدمة</w:t>
      </w:r>
    </w:p>
    <w:p>
      <w:pPr>
        <w:pStyle w:val="BodyText"/>
      </w:pPr>
      <w:r>
        <w:rPr>
          <w:b/>
          <w:bCs/>
        </w:rPr>
        <w:t xml:space="preserve">تعريفات:</w:t>
      </w:r>
    </w:p>
    <w:p>
      <w:pPr>
        <w:pStyle w:val="BodyText"/>
      </w:pPr>
      <w:r>
        <w:t xml:space="preserve">في هذا القسم، يتم تحديد المصطلحات الأساسية المستخدمة في كراسة الشروط والمواصفات، وذلك لتسهيل الفهم وضمان وضوح العروض المقدمة للمنافسة. تشمل التعريفات ما يلي:</w:t>
      </w:r>
    </w:p>
    <w:p>
      <w:pPr>
        <w:numPr>
          <w:ilvl w:val="0"/>
          <w:numId w:val="1001"/>
        </w:numPr>
      </w:pPr>
      <w:r>
        <w:rPr>
          <w:b/>
          <w:bCs/>
        </w:rPr>
        <w:t xml:space="preserve">الطاقة الشمسية</w:t>
      </w:r>
      <w:r>
        <w:t xml:space="preserve">: الطاقة المتولدة من ضوء الشمس وتعتبر مصدرًا متجددًا للطاقة.</w:t>
      </w:r>
    </w:p>
    <w:p>
      <w:pPr>
        <w:numPr>
          <w:ilvl w:val="0"/>
          <w:numId w:val="1001"/>
        </w:numPr>
      </w:pPr>
      <w:r>
        <w:rPr>
          <w:b/>
          <w:bCs/>
        </w:rPr>
        <w:t xml:space="preserve">المزايدين</w:t>
      </w:r>
      <w:r>
        <w:t xml:space="preserve">: الكيانات أو الأفراد الذين يتقدمون بعروض للمشاركة في المنافسة.</w:t>
      </w:r>
    </w:p>
    <w:p>
      <w:pPr>
        <w:numPr>
          <w:ilvl w:val="0"/>
          <w:numId w:val="1001"/>
        </w:numPr>
      </w:pPr>
      <w:r>
        <w:rPr>
          <w:b/>
          <w:bCs/>
        </w:rPr>
        <w:t xml:space="preserve">الهيئة الإدارية</w:t>
      </w:r>
      <w:r>
        <w:t xml:space="preserve">: الجهة المسؤولة عن إدارة وتنظيم المنافسة والإشراف على سير العمليات.</w:t>
      </w:r>
    </w:p>
    <w:p>
      <w:pPr>
        <w:numPr>
          <w:ilvl w:val="0"/>
          <w:numId w:val="1001"/>
        </w:numPr>
      </w:pPr>
      <w:r>
        <w:rPr>
          <w:b/>
          <w:bCs/>
        </w:rPr>
        <w:t xml:space="preserve">المنافسة</w:t>
      </w:r>
      <w:r>
        <w:t xml:space="preserve">: العملية التي يتم فيها تقديم العروض بهدف الفوز بعقد لتقديم الخدمات أو توريد سلع معينة.</w:t>
      </w:r>
    </w:p>
    <w:p>
      <w:pPr>
        <w:numPr>
          <w:ilvl w:val="0"/>
          <w:numId w:val="1001"/>
        </w:numPr>
      </w:pPr>
      <w:r>
        <w:rPr>
          <w:b/>
          <w:bCs/>
        </w:rPr>
        <w:t xml:space="preserve">الاتفاقية الإطارية</w:t>
      </w:r>
      <w:r>
        <w:t xml:space="preserve">: عقد يحدد الشروط والأحكام التي سيتم بموجبها إبرام العقود المستقبلية.</w:t>
      </w:r>
    </w:p>
    <w:p>
      <w:pPr>
        <w:numPr>
          <w:ilvl w:val="0"/>
          <w:numId w:val="1001"/>
        </w:numPr>
      </w:pPr>
      <w:r>
        <w:rPr>
          <w:b/>
          <w:bCs/>
        </w:rPr>
        <w:t xml:space="preserve">الكميات</w:t>
      </w:r>
      <w:r>
        <w:t xml:space="preserve">: تشير إلى الحجم أو الكمية المطلوبة من الطاقة أو السلع أو الخدمات.</w:t>
      </w:r>
    </w:p>
    <w:p>
      <w:pPr>
        <w:numPr>
          <w:ilvl w:val="0"/>
          <w:numId w:val="1001"/>
        </w:numPr>
      </w:pPr>
      <w:r>
        <w:rPr>
          <w:b/>
          <w:bCs/>
        </w:rPr>
        <w:t xml:space="preserve">السوق الإلكتروني</w:t>
      </w:r>
      <w:r>
        <w:t xml:space="preserve">: المنصة التي يتم من خلالها طرح العطاءات وتقديم العروض.</w:t>
      </w:r>
    </w:p>
    <w:p>
      <w:pPr>
        <w:numPr>
          <w:ilvl w:val="0"/>
          <w:numId w:val="1001"/>
        </w:numPr>
      </w:pPr>
      <w:r>
        <w:rPr>
          <w:b/>
          <w:bCs/>
        </w:rPr>
        <w:t xml:space="preserve">البوابة الإلكترونية</w:t>
      </w:r>
      <w:r>
        <w:t xml:space="preserve">: الموقع الرسمي الذي تستخدمه الهيئة الإدارية لنشر المعلومات المتعلقة بالمنافسة.</w:t>
      </w:r>
    </w:p>
    <w:p>
      <w:pPr>
        <w:pStyle w:val="FirstParagraph"/>
      </w:pPr>
      <w:r>
        <w:t xml:space="preserve">هذه التعريفات مقدمة لضمان فهم شامل للمصطلحات المستخدمة مما يعزز تمكن المشاركين من تقديم عروض دقيقة ومنافسة.</w:t>
      </w:r>
    </w:p>
    <w:p>
      <w:pPr>
        <w:pStyle w:val="BodyText"/>
      </w:pPr>
      <w:r>
        <w:rPr>
          <w:b/>
          <w:bCs/>
        </w:rPr>
        <w:t xml:space="preserve">القسم الثاني: نطاق العمل</w:t>
      </w:r>
    </w:p>
    <w:p>
      <w:pPr>
        <w:pStyle w:val="BodyText"/>
      </w:pPr>
      <w:r>
        <w:rPr>
          <w:b/>
          <w:bCs/>
        </w:rPr>
        <w:t xml:space="preserve">وصف المشروع:</w:t>
      </w:r>
    </w:p>
    <w:p>
      <w:pPr>
        <w:pStyle w:val="BodyText"/>
      </w:pPr>
      <w:r>
        <w:t xml:space="preserve">يهدف هذا المشروع إلى تركيب أنظمة لتوليد الطاقة الشمسية في مواقع متعددة عبر المملكة العربية السعودية، مما يسهم في تنويع مصادر الطاقة وتعزيز الاستدامة البيئية. يشمل نطاق العمل ما يلي:</w:t>
      </w:r>
    </w:p>
    <w:p>
      <w:pPr>
        <w:pStyle w:val="Compact"/>
        <w:numPr>
          <w:ilvl w:val="0"/>
          <w:numId w:val="1002"/>
        </w:numPr>
      </w:pPr>
      <w:r>
        <w:rPr>
          <w:b/>
          <w:bCs/>
        </w:rPr>
        <w:t xml:space="preserve">تحديد المواقع</w:t>
      </w:r>
      <w:r>
        <w:t xml:space="preserve">:</w:t>
      </w:r>
    </w:p>
    <w:p>
      <w:pPr>
        <w:pStyle w:val="Compact"/>
        <w:numPr>
          <w:ilvl w:val="1"/>
          <w:numId w:val="1003"/>
        </w:numPr>
      </w:pPr>
      <w:r>
        <w:t xml:space="preserve">إجراء دراسات ميدانية لتحديد المواقع المثلى لتركيب أنظمة الطاقة الشمسية.</w:t>
      </w:r>
    </w:p>
    <w:p>
      <w:pPr>
        <w:pStyle w:val="Compact"/>
        <w:numPr>
          <w:ilvl w:val="1"/>
          <w:numId w:val="1003"/>
        </w:numPr>
      </w:pPr>
      <w:r>
        <w:t xml:space="preserve">تحليل العوامل البيئية والتقنية التي تؤثر على كفاءة أنظمة الطاقة الشمسية.</w:t>
      </w:r>
    </w:p>
    <w:p>
      <w:pPr>
        <w:pStyle w:val="Compact"/>
        <w:numPr>
          <w:ilvl w:val="0"/>
          <w:numId w:val="1002"/>
        </w:numPr>
      </w:pPr>
      <w:r>
        <w:rPr>
          <w:b/>
          <w:bCs/>
        </w:rPr>
        <w:t xml:space="preserve">تصميم الأنظمة</w:t>
      </w:r>
      <w:r>
        <w:t xml:space="preserve">:</w:t>
      </w:r>
    </w:p>
    <w:p>
      <w:pPr>
        <w:pStyle w:val="Compact"/>
        <w:numPr>
          <w:ilvl w:val="1"/>
          <w:numId w:val="1004"/>
        </w:numPr>
      </w:pPr>
      <w:r>
        <w:t xml:space="preserve">تطوير تصاميم تفصيلية للأنظمة الشمسية تشمل الألواح الشمسية، أنظمة التخزين، والمكونات الكهربائية اللازمة.</w:t>
      </w:r>
    </w:p>
    <w:p>
      <w:pPr>
        <w:pStyle w:val="Compact"/>
        <w:numPr>
          <w:ilvl w:val="1"/>
          <w:numId w:val="1004"/>
        </w:numPr>
      </w:pPr>
      <w:r>
        <w:t xml:space="preserve">ضمان توافق التصميم مع المعايير الفنية والمواصفات المطلوبة من قبل الهيئة الإدارية.</w:t>
      </w:r>
    </w:p>
    <w:p>
      <w:pPr>
        <w:pStyle w:val="Compact"/>
        <w:numPr>
          <w:ilvl w:val="0"/>
          <w:numId w:val="1002"/>
        </w:numPr>
      </w:pPr>
      <w:r>
        <w:rPr>
          <w:b/>
          <w:bCs/>
        </w:rPr>
        <w:t xml:space="preserve">تركيب الأنظمة</w:t>
      </w:r>
      <w:r>
        <w:t xml:space="preserve">:</w:t>
      </w:r>
    </w:p>
    <w:p>
      <w:pPr>
        <w:pStyle w:val="Compact"/>
        <w:numPr>
          <w:ilvl w:val="1"/>
          <w:numId w:val="1005"/>
        </w:numPr>
      </w:pPr>
      <w:r>
        <w:t xml:space="preserve">تنفيذ عمليات التركيب لجميع المكونات الأساسية وفق الجدول الزمني المتفق عليه.</w:t>
      </w:r>
    </w:p>
    <w:p>
      <w:pPr>
        <w:pStyle w:val="Compact"/>
        <w:numPr>
          <w:ilvl w:val="1"/>
          <w:numId w:val="1005"/>
        </w:numPr>
      </w:pPr>
      <w:r>
        <w:t xml:space="preserve">استخدام تقنيات حديثة لضمان كفاءة التركيب والسلامة العامة.</w:t>
      </w:r>
    </w:p>
    <w:p>
      <w:pPr>
        <w:pStyle w:val="Compact"/>
        <w:numPr>
          <w:ilvl w:val="0"/>
          <w:numId w:val="1002"/>
        </w:numPr>
      </w:pPr>
      <w:r>
        <w:rPr>
          <w:b/>
          <w:bCs/>
        </w:rPr>
        <w:t xml:space="preserve">الاختبارات والتشغيل</w:t>
      </w:r>
      <w:r>
        <w:t xml:space="preserve">:</w:t>
      </w:r>
    </w:p>
    <w:p>
      <w:pPr>
        <w:pStyle w:val="Compact"/>
        <w:numPr>
          <w:ilvl w:val="1"/>
          <w:numId w:val="1006"/>
        </w:numPr>
      </w:pPr>
      <w:r>
        <w:t xml:space="preserve">إجراء اختبارات شاملة للتأكد من كفاءة الأنظمة وتركيبها بالشكل الصحيح.</w:t>
      </w:r>
    </w:p>
    <w:p>
      <w:pPr>
        <w:pStyle w:val="Compact"/>
        <w:numPr>
          <w:ilvl w:val="1"/>
          <w:numId w:val="1006"/>
        </w:numPr>
      </w:pPr>
      <w:r>
        <w:t xml:space="preserve">ضبط الأنظمة وتهيئتها للعمل بكفاءة عالية.</w:t>
      </w:r>
    </w:p>
    <w:p>
      <w:pPr>
        <w:pStyle w:val="Compact"/>
        <w:numPr>
          <w:ilvl w:val="0"/>
          <w:numId w:val="1002"/>
        </w:numPr>
      </w:pPr>
      <w:r>
        <w:rPr>
          <w:b/>
          <w:bCs/>
        </w:rPr>
        <w:t xml:space="preserve">الصيانة والدعم الفني</w:t>
      </w:r>
      <w:r>
        <w:t xml:space="preserve">:</w:t>
      </w:r>
    </w:p>
    <w:p>
      <w:pPr>
        <w:pStyle w:val="Compact"/>
        <w:numPr>
          <w:ilvl w:val="1"/>
          <w:numId w:val="1007"/>
        </w:numPr>
      </w:pPr>
      <w:r>
        <w:t xml:space="preserve">تقديم خدمات الصيانة والدعم الفني للمشروعات المثبتة لمدة لا تقل عن [تحديد مدة الصيانة] بعد عملية التركيب.</w:t>
      </w:r>
    </w:p>
    <w:p>
      <w:pPr>
        <w:pStyle w:val="Compact"/>
        <w:numPr>
          <w:ilvl w:val="1"/>
          <w:numId w:val="1007"/>
        </w:numPr>
      </w:pPr>
      <w:r>
        <w:t xml:space="preserve">وضع إجراءات للصيانة الدورية واستجابة سريعة لحالات الطوارئ.</w:t>
      </w:r>
    </w:p>
    <w:p>
      <w:pPr>
        <w:pStyle w:val="Compact"/>
        <w:numPr>
          <w:ilvl w:val="0"/>
          <w:numId w:val="1002"/>
        </w:numPr>
      </w:pPr>
      <w:r>
        <w:rPr>
          <w:b/>
          <w:bCs/>
        </w:rPr>
        <w:t xml:space="preserve">التقارير والتوثيق</w:t>
      </w:r>
      <w:r>
        <w:t xml:space="preserve">:</w:t>
      </w:r>
    </w:p>
    <w:p>
      <w:pPr>
        <w:pStyle w:val="Compact"/>
        <w:numPr>
          <w:ilvl w:val="1"/>
          <w:numId w:val="1008"/>
        </w:numPr>
      </w:pPr>
      <w:r>
        <w:t xml:space="preserve">إعداد تقارير مفصلة عن مراحل تنفيذ المشروع تشمل الأداء والتكاليف ومعدلات التوليد للطاقة.</w:t>
      </w:r>
    </w:p>
    <w:p>
      <w:pPr>
        <w:pStyle w:val="Compact"/>
        <w:numPr>
          <w:ilvl w:val="1"/>
          <w:numId w:val="1008"/>
        </w:numPr>
      </w:pPr>
      <w:r>
        <w:t xml:space="preserve">توثيق أي تحديات تم مواجهتها خلال التنفيذ والحلول المعتمدة لمعالجتها.</w:t>
      </w:r>
    </w:p>
    <w:p>
      <w:pPr>
        <w:pStyle w:val="FirstParagraph"/>
      </w:pPr>
      <w:r>
        <w:t xml:space="preserve">تتطلب هذه الأنشطة كفاءات فنية عالية وتمويل متوازن، لذا يُشجع على تقديم عروض تحاكي الابتكار وتراعي المعايير الدولية والمحلية المعتمدة في هذا المجال.</w:t>
      </w:r>
    </w:p>
    <w:p>
      <w:pPr>
        <w:pStyle w:val="BodyText"/>
      </w:pPr>
      <w:r>
        <w:rPr>
          <w:b/>
          <w:bCs/>
        </w:rPr>
        <w:t xml:space="preserve">القسم الثالث: معايير المؤهلات</w:t>
      </w:r>
    </w:p>
    <w:p>
      <w:pPr>
        <w:pStyle w:val="BodyText"/>
      </w:pPr>
      <w:r>
        <w:rPr>
          <w:b/>
          <w:bCs/>
        </w:rPr>
        <w:t xml:space="preserve">المؤهلات الفنية:</w:t>
      </w:r>
    </w:p>
    <w:p>
      <w:pPr>
        <w:pStyle w:val="BodyText"/>
      </w:pPr>
      <w:r>
        <w:t xml:space="preserve">تحدد المعايير التالية متطلبات المؤهلات الفنية التي يجب أن تتوفر في المتنافسين لضمان تقديم خدمات ذات جودة عالية ومطابقة للاحتياجات المحددة من قبل الهيئة الإدارية:</w:t>
      </w:r>
    </w:p>
    <w:p>
      <w:pPr>
        <w:pStyle w:val="Compact"/>
        <w:numPr>
          <w:ilvl w:val="0"/>
          <w:numId w:val="1009"/>
        </w:numPr>
      </w:pPr>
      <w:r>
        <w:rPr>
          <w:b/>
          <w:bCs/>
        </w:rPr>
        <w:t xml:space="preserve">الخبرة السابقة:</w:t>
      </w:r>
    </w:p>
    <w:p>
      <w:pPr>
        <w:pStyle w:val="Compact"/>
        <w:numPr>
          <w:ilvl w:val="1"/>
          <w:numId w:val="1010"/>
        </w:numPr>
      </w:pPr>
      <w:r>
        <w:t xml:space="preserve">يجب على المتنافسين تقديم دليل على خبرة سابقة في تنفيذ مشاريع تركيب أنظمة الطاقة الشمسية بما لا يقل عن [عدد السنوات] سنوات.</w:t>
      </w:r>
    </w:p>
    <w:p>
      <w:pPr>
        <w:pStyle w:val="Compact"/>
        <w:numPr>
          <w:ilvl w:val="1"/>
          <w:numId w:val="1010"/>
        </w:numPr>
      </w:pPr>
      <w:r>
        <w:t xml:space="preserve">يجب أن تتضمن المشاريع السابقة تفاصيل مثل الموقع، والنطاق، وقيمة المشروع، والمدة الزمنية للتنفيذ، بالإضافة إلى معلومات حول أداء الأنظمة بعد التركيب.</w:t>
      </w:r>
    </w:p>
    <w:p>
      <w:pPr>
        <w:pStyle w:val="Compact"/>
        <w:numPr>
          <w:ilvl w:val="0"/>
          <w:numId w:val="1009"/>
        </w:numPr>
      </w:pPr>
      <w:r>
        <w:rPr>
          <w:b/>
          <w:bCs/>
        </w:rPr>
        <w:t xml:space="preserve">التراخيص والشهادات:</w:t>
      </w:r>
    </w:p>
    <w:p>
      <w:pPr>
        <w:pStyle w:val="Compact"/>
        <w:numPr>
          <w:ilvl w:val="1"/>
          <w:numId w:val="1011"/>
        </w:numPr>
      </w:pPr>
      <w:r>
        <w:t xml:space="preserve">يجب أن يكون لدى المتنافسين التراخيص المحلية المطلوبة لتشغيل الأعمال المتعلقة بتكنولوجيا الطاقة الشمسية.</w:t>
      </w:r>
    </w:p>
    <w:p>
      <w:pPr>
        <w:pStyle w:val="Compact"/>
        <w:numPr>
          <w:ilvl w:val="1"/>
          <w:numId w:val="1011"/>
        </w:numPr>
      </w:pPr>
      <w:r>
        <w:t xml:space="preserve">يجب على المتنافسين تقديم أي شهادات أو اعتمادات ذات صلة من هيئات معترف بها تثبت كفاءتهم في تنفيذ مشاريع الطاقة المتجددة.</w:t>
      </w:r>
    </w:p>
    <w:p>
      <w:pPr>
        <w:pStyle w:val="Compact"/>
        <w:numPr>
          <w:ilvl w:val="0"/>
          <w:numId w:val="1009"/>
        </w:numPr>
      </w:pPr>
      <w:r>
        <w:rPr>
          <w:b/>
          <w:bCs/>
        </w:rPr>
        <w:t xml:space="preserve">الكفاءة الفنية:</w:t>
      </w:r>
    </w:p>
    <w:p>
      <w:pPr>
        <w:pStyle w:val="Compact"/>
        <w:numPr>
          <w:ilvl w:val="1"/>
          <w:numId w:val="1012"/>
        </w:numPr>
      </w:pPr>
      <w:r>
        <w:t xml:space="preserve">يتعين تقديم معلومات تفصيلية حول الفريق الفني المشارك في المشروع، شاملاً المؤهلات الأكاديمية والخبرات العملية لكل عضو.</w:t>
      </w:r>
    </w:p>
    <w:p>
      <w:pPr>
        <w:pStyle w:val="Compact"/>
        <w:numPr>
          <w:ilvl w:val="1"/>
          <w:numId w:val="1012"/>
        </w:numPr>
      </w:pPr>
      <w:r>
        <w:t xml:space="preserve">يتعين أن يشمل الفريق مهندسين متخصصين في تصميم وتركيب أنظمة الطاقة الشمسية.</w:t>
      </w:r>
    </w:p>
    <w:p>
      <w:pPr>
        <w:pStyle w:val="Compact"/>
        <w:numPr>
          <w:ilvl w:val="0"/>
          <w:numId w:val="1009"/>
        </w:numPr>
      </w:pPr>
      <w:r>
        <w:rPr>
          <w:b/>
          <w:bCs/>
        </w:rPr>
        <w:t xml:space="preserve">التكنولوجيا المستخدمة:</w:t>
      </w:r>
    </w:p>
    <w:p>
      <w:pPr>
        <w:pStyle w:val="Compact"/>
        <w:numPr>
          <w:ilvl w:val="1"/>
          <w:numId w:val="1013"/>
        </w:numPr>
      </w:pPr>
      <w:r>
        <w:t xml:space="preserve">يجب على المتنافسين توضيح نوع التقنيات والمعدات التي سيتم استخدامها في تنفيذ المشروع، مع توضيح معايير الجودة والامتثال للمعايير الدولية.</w:t>
      </w:r>
    </w:p>
    <w:p>
      <w:pPr>
        <w:pStyle w:val="Compact"/>
        <w:numPr>
          <w:ilvl w:val="0"/>
          <w:numId w:val="1009"/>
        </w:numPr>
      </w:pPr>
      <w:r>
        <w:rPr>
          <w:b/>
          <w:bCs/>
        </w:rPr>
        <w:t xml:space="preserve">التقييم البيئي:</w:t>
      </w:r>
    </w:p>
    <w:p>
      <w:pPr>
        <w:pStyle w:val="Compact"/>
        <w:numPr>
          <w:ilvl w:val="1"/>
          <w:numId w:val="1014"/>
        </w:numPr>
      </w:pPr>
      <w:r>
        <w:t xml:space="preserve">يتعين على المتنافسين تقديم الدراسات البيئية اللازمة التي توضح تأثير المشروع على البيئة، وتبين كيف سيتم التخفيف من المخاطر البيئية المحتملة.</w:t>
      </w:r>
    </w:p>
    <w:p>
      <w:pPr>
        <w:pStyle w:val="Compact"/>
        <w:numPr>
          <w:ilvl w:val="0"/>
          <w:numId w:val="1009"/>
        </w:numPr>
      </w:pPr>
      <w:r>
        <w:rPr>
          <w:b/>
          <w:bCs/>
        </w:rPr>
        <w:t xml:space="preserve">خطة التنفيذ:</w:t>
      </w:r>
    </w:p>
    <w:p>
      <w:pPr>
        <w:pStyle w:val="Compact"/>
        <w:numPr>
          <w:ilvl w:val="1"/>
          <w:numId w:val="1015"/>
        </w:numPr>
      </w:pPr>
      <w:r>
        <w:t xml:space="preserve">يجب تقديم خطة تنفيذ مفصلة تشمل الجدول الزمني والمراحل الأساسية لكل جزء من المشروع، مع توضيح آليات الرقابة والتقارير.</w:t>
      </w:r>
    </w:p>
    <w:p>
      <w:pPr>
        <w:pStyle w:val="FirstParagraph"/>
      </w:pPr>
      <w:r>
        <w:t xml:space="preserve">تساعد هذه المعايير في ضمان اختيار المتقدمين القادرين على تقديم الخدمات بكفاءة وفاعلية، مما يساهم في تحقيق أهداف المشروع والمساهمة في تحسين بيئة الطاقة المستدامة في المملكة.</w:t>
      </w:r>
    </w:p>
    <w:p>
      <w:pPr>
        <w:pStyle w:val="BodyText"/>
      </w:pPr>
      <w:r>
        <w:rPr>
          <w:b/>
          <w:bCs/>
        </w:rPr>
        <w:t xml:space="preserve">القسم الرابع: متطلبات تقديم العروض</w:t>
      </w:r>
    </w:p>
    <w:p>
      <w:pPr>
        <w:pStyle w:val="BodyText"/>
      </w:pPr>
      <w:r>
        <w:rPr>
          <w:b/>
          <w:bCs/>
        </w:rPr>
        <w:t xml:space="preserve">صيغة العرض:</w:t>
      </w:r>
    </w:p>
    <w:p>
      <w:pPr>
        <w:pStyle w:val="BodyText"/>
      </w:pPr>
      <w:r>
        <w:t xml:space="preserve">يتعين على المتنافسين تقديم عروضهم وفقًا للمتطلبات التالية لضمان تقييم شامل وموضوعي لكل عرض. يجب أن تتضمن كل عرض الأقسام التالية مع الالتزام بالتسلسل والمحتوى المطلوب:</w:t>
      </w:r>
    </w:p>
    <w:p>
      <w:pPr>
        <w:pStyle w:val="Compact"/>
        <w:numPr>
          <w:ilvl w:val="0"/>
          <w:numId w:val="1016"/>
        </w:numPr>
      </w:pPr>
      <w:r>
        <w:rPr>
          <w:b/>
          <w:bCs/>
        </w:rPr>
        <w:t xml:space="preserve">الصفحة التالية:</w:t>
      </w:r>
    </w:p>
    <w:p>
      <w:pPr>
        <w:pStyle w:val="Compact"/>
        <w:numPr>
          <w:ilvl w:val="1"/>
          <w:numId w:val="1017"/>
        </w:numPr>
      </w:pPr>
      <w:r>
        <w:t xml:space="preserve">يجب تضمين صفحة غلاف توضح اسم العرض، اسم المزايد (المنظمة أو الفرد)، ورقم المناقصة، وتاريخ التقديم.</w:t>
      </w:r>
    </w:p>
    <w:p>
      <w:pPr>
        <w:pStyle w:val="Compact"/>
        <w:numPr>
          <w:ilvl w:val="0"/>
          <w:numId w:val="1016"/>
        </w:numPr>
      </w:pPr>
      <w:r>
        <w:rPr>
          <w:b/>
          <w:bCs/>
        </w:rPr>
        <w:t xml:space="preserve">الجدول الزمني:</w:t>
      </w:r>
    </w:p>
    <w:p>
      <w:pPr>
        <w:pStyle w:val="Compact"/>
        <w:numPr>
          <w:ilvl w:val="1"/>
          <w:numId w:val="1018"/>
        </w:numPr>
      </w:pPr>
      <w:r>
        <w:t xml:space="preserve">تعيين مواعيد واضحة لتقديم العروض تشمل تاريخ البدء والانتهاء، مع الالتزام بالمواعيد المحددة في كراسة الشروط.</w:t>
      </w:r>
    </w:p>
    <w:p>
      <w:pPr>
        <w:pStyle w:val="Compact"/>
        <w:numPr>
          <w:ilvl w:val="0"/>
          <w:numId w:val="1016"/>
        </w:numPr>
      </w:pPr>
      <w:r>
        <w:rPr>
          <w:b/>
          <w:bCs/>
        </w:rPr>
        <w:t xml:space="preserve">ملخص تقديم العرض:</w:t>
      </w:r>
    </w:p>
    <w:p>
      <w:pPr>
        <w:pStyle w:val="Compact"/>
        <w:numPr>
          <w:ilvl w:val="1"/>
          <w:numId w:val="1019"/>
        </w:numPr>
      </w:pPr>
      <w:r>
        <w:t xml:space="preserve">تقديم ملخص قصير يتضمن أهداف المشروع وكيف سيحقق العرض متطلبات الهيئة الإدارية، مع التركيز على الابتكار والجودة.</w:t>
      </w:r>
    </w:p>
    <w:p>
      <w:pPr>
        <w:pStyle w:val="Compact"/>
        <w:numPr>
          <w:ilvl w:val="0"/>
          <w:numId w:val="1016"/>
        </w:numPr>
      </w:pPr>
      <w:r>
        <w:rPr>
          <w:b/>
          <w:bCs/>
        </w:rPr>
        <w:t xml:space="preserve">التفاصيل الفنية:</w:t>
      </w:r>
    </w:p>
    <w:p>
      <w:pPr>
        <w:pStyle w:val="Compact"/>
        <w:numPr>
          <w:ilvl w:val="1"/>
          <w:numId w:val="1020"/>
        </w:numPr>
      </w:pPr>
      <w:r>
        <w:t xml:space="preserve">ينبغي توضيح تفاصيل فنية دقيقة تشمل:</w:t>
      </w:r>
    </w:p>
    <w:p>
      <w:pPr>
        <w:pStyle w:val="Compact"/>
        <w:numPr>
          <w:ilvl w:val="2"/>
          <w:numId w:val="1021"/>
        </w:numPr>
      </w:pPr>
      <w:r>
        <w:t xml:space="preserve">وصف الأنظمة المقترحة.</w:t>
      </w:r>
    </w:p>
    <w:p>
      <w:pPr>
        <w:pStyle w:val="Compact"/>
        <w:numPr>
          <w:ilvl w:val="2"/>
          <w:numId w:val="1021"/>
        </w:numPr>
      </w:pPr>
      <w:r>
        <w:t xml:space="preserve">التكنولوجيات المستخدمة.</w:t>
      </w:r>
    </w:p>
    <w:p>
      <w:pPr>
        <w:pStyle w:val="Compact"/>
        <w:numPr>
          <w:ilvl w:val="2"/>
          <w:numId w:val="1021"/>
        </w:numPr>
      </w:pPr>
      <w:r>
        <w:t xml:space="preserve">الرسومات الهندسية أو المخططات.</w:t>
      </w:r>
    </w:p>
    <w:p>
      <w:pPr>
        <w:pStyle w:val="Compact"/>
        <w:numPr>
          <w:ilvl w:val="0"/>
          <w:numId w:val="1016"/>
        </w:numPr>
      </w:pPr>
      <w:r>
        <w:rPr>
          <w:b/>
          <w:bCs/>
        </w:rPr>
        <w:t xml:space="preserve">التفاصيل المالية:</w:t>
      </w:r>
    </w:p>
    <w:p>
      <w:pPr>
        <w:pStyle w:val="Compact"/>
        <w:numPr>
          <w:ilvl w:val="1"/>
          <w:numId w:val="1022"/>
        </w:numPr>
      </w:pPr>
      <w:r>
        <w:t xml:space="preserve">يجب تقديم جدول يتضمن الأسعار والتكاليف التقديرية لكل جزء من المشروع، مع شرح مفصل لكيفية وضع الأسعار وضمان التنافسية.</w:t>
      </w:r>
    </w:p>
    <w:p>
      <w:pPr>
        <w:pStyle w:val="Compact"/>
        <w:numPr>
          <w:ilvl w:val="0"/>
          <w:numId w:val="1016"/>
        </w:numPr>
      </w:pPr>
      <w:r>
        <w:rPr>
          <w:b/>
          <w:bCs/>
        </w:rPr>
        <w:t xml:space="preserve">خطة التنفيذ:</w:t>
      </w:r>
    </w:p>
    <w:p>
      <w:pPr>
        <w:pStyle w:val="Compact"/>
        <w:numPr>
          <w:ilvl w:val="1"/>
          <w:numId w:val="1023"/>
        </w:numPr>
      </w:pPr>
      <w:r>
        <w:t xml:space="preserve">يجب أن تكون خطة التنفيذ مفصلة، مع تحديد المراحل الرئيسية، المعالم الزمنية، وآليات الرقابة لضمان الالتزام بالجدول الزمني.</w:t>
      </w:r>
    </w:p>
    <w:p>
      <w:pPr>
        <w:pStyle w:val="Compact"/>
        <w:numPr>
          <w:ilvl w:val="0"/>
          <w:numId w:val="1016"/>
        </w:numPr>
      </w:pPr>
      <w:r>
        <w:rPr>
          <w:b/>
          <w:bCs/>
        </w:rPr>
        <w:t xml:space="preserve">أدلة المؤهلات:</w:t>
      </w:r>
    </w:p>
    <w:p>
      <w:pPr>
        <w:pStyle w:val="Compact"/>
        <w:numPr>
          <w:ilvl w:val="1"/>
          <w:numId w:val="1024"/>
        </w:numPr>
      </w:pPr>
      <w:r>
        <w:t xml:space="preserve">يجب تضمين الوثائق الداعمة التي تثبت الخبرات السابقة، التراخيص، الشهادات، وسير ذاتية لأعضاء الفريق الفني.</w:t>
      </w:r>
    </w:p>
    <w:p>
      <w:pPr>
        <w:pStyle w:val="Compact"/>
        <w:numPr>
          <w:ilvl w:val="0"/>
          <w:numId w:val="1016"/>
        </w:numPr>
      </w:pPr>
      <w:r>
        <w:rPr>
          <w:b/>
          <w:bCs/>
        </w:rPr>
        <w:t xml:space="preserve">التقارير البيئية:</w:t>
      </w:r>
    </w:p>
    <w:p>
      <w:pPr>
        <w:pStyle w:val="Compact"/>
        <w:numPr>
          <w:ilvl w:val="1"/>
          <w:numId w:val="1025"/>
        </w:numPr>
      </w:pPr>
      <w:r>
        <w:t xml:space="preserve">تقديم التقارير البيئية اللازمة التي تتابع تأثير المشروع على البيئة، بجانب خطط التخفيف من المخاطر.</w:t>
      </w:r>
    </w:p>
    <w:p>
      <w:pPr>
        <w:pStyle w:val="Compact"/>
        <w:numPr>
          <w:ilvl w:val="0"/>
          <w:numId w:val="1016"/>
        </w:numPr>
      </w:pPr>
      <w:r>
        <w:rPr>
          <w:b/>
          <w:bCs/>
        </w:rPr>
        <w:t xml:space="preserve">الالتزام بالمعايير:</w:t>
      </w:r>
    </w:p>
    <w:p>
      <w:pPr>
        <w:pStyle w:val="Compact"/>
        <w:numPr>
          <w:ilvl w:val="1"/>
          <w:numId w:val="1026"/>
        </w:numPr>
      </w:pPr>
      <w:r>
        <w:t xml:space="preserve">يجب تضمين بيان يلزم المتنافس بالتزامه بالمعايير الفنية والتنظيمية المطلوبة وفقًا لتوجيهات الهيئة الإدارية.</w:t>
      </w:r>
    </w:p>
    <w:p>
      <w:pPr>
        <w:pStyle w:val="Compact"/>
        <w:numPr>
          <w:ilvl w:val="0"/>
          <w:numId w:val="1016"/>
        </w:numPr>
      </w:pPr>
      <w:r>
        <w:rPr>
          <w:b/>
          <w:bCs/>
        </w:rPr>
        <w:t xml:space="preserve">التوقيت النهائي للتقديم:</w:t>
      </w:r>
    </w:p>
    <w:p>
      <w:pPr>
        <w:pStyle w:val="Compact"/>
        <w:numPr>
          <w:ilvl w:val="0"/>
          <w:numId w:val="1027"/>
        </w:numPr>
      </w:pPr>
      <w:r>
        <w:t xml:space="preserve">يتم تحديد الموعد النهائي لتقديم العروض بوضوح، مع التأكيد على أي تبعات قانونية أو إجرائية لتقديم العروض المتأخرة.</w:t>
      </w:r>
    </w:p>
    <w:p>
      <w:pPr>
        <w:pStyle w:val="FirstParagraph"/>
      </w:pPr>
      <w:r>
        <w:t xml:space="preserve">تعد هذه المتطلبات ضرورية لضمان تقديم العروض بشكل محترف ومنظم، مما يسهل عملية التقييم من قبل الهيئة الإدارية ويدعم تحقيق أهداف المشروع بشكل فعال. يجب على المتنافسين مراجعة جميع التفاصيل بعناية لتفادي أي نقص أو عدم توافق في العروض المقدمة.</w:t>
      </w:r>
    </w:p>
    <w:p>
      <w:pPr>
        <w:pStyle w:val="BodyText"/>
      </w:pPr>
      <w:r>
        <w:rPr>
          <w:b/>
          <w:bCs/>
        </w:rPr>
        <w:t xml:space="preserve">القسم الخامس: معايير التقييم</w:t>
      </w:r>
    </w:p>
    <w:p>
      <w:pPr>
        <w:pStyle w:val="BodyText"/>
      </w:pPr>
      <w:r>
        <w:rPr>
          <w:b/>
          <w:bCs/>
        </w:rPr>
        <w:t xml:space="preserve">أسس التقييم:</w:t>
      </w:r>
    </w:p>
    <w:p>
      <w:pPr>
        <w:pStyle w:val="BodyText"/>
      </w:pPr>
      <w:r>
        <w:t xml:space="preserve">يهدف هذا القسم إلى توضيح الأسس والمعايير التي سيتم اعتمادها لتقييم العروض المقدمة من المتنافسين. يتم تقييم العروض وفقًا لمجموعة من المعايير المحددة لضمان اختيار العرض الأفضل الذي يلبي احتياجات المشروع ويحقق الأهداف المرجوة. تشمل هذه الأسس ما يلي:</w:t>
      </w:r>
    </w:p>
    <w:p>
      <w:pPr>
        <w:pStyle w:val="Compact"/>
        <w:numPr>
          <w:ilvl w:val="0"/>
          <w:numId w:val="1028"/>
        </w:numPr>
      </w:pPr>
      <w:r>
        <w:rPr>
          <w:b/>
          <w:bCs/>
        </w:rPr>
        <w:t xml:space="preserve">الجودة الفنية:</w:t>
      </w:r>
    </w:p>
    <w:p>
      <w:pPr>
        <w:pStyle w:val="Compact"/>
        <w:numPr>
          <w:ilvl w:val="1"/>
          <w:numId w:val="1029"/>
        </w:numPr>
      </w:pPr>
      <w:r>
        <w:t xml:space="preserve">تقييم مدى تطابق العرض مع المواصفات الفنية المحددة في كراسة الشروط، بما في ذلك التصميم والتقنيات المستخدمة والامتثال للمعايير الدولية. سيتم منح نقاط أعلى للعروض التي تظهر ابتكارًا وتقنيات متقدمة في مجال الطاقة الشمسية.</w:t>
      </w:r>
    </w:p>
    <w:p>
      <w:pPr>
        <w:pStyle w:val="Compact"/>
        <w:numPr>
          <w:ilvl w:val="0"/>
          <w:numId w:val="1028"/>
        </w:numPr>
      </w:pPr>
      <w:r>
        <w:rPr>
          <w:b/>
          <w:bCs/>
        </w:rPr>
        <w:t xml:space="preserve">الخبرة والخلفية:</w:t>
      </w:r>
    </w:p>
    <w:p>
      <w:pPr>
        <w:pStyle w:val="Compact"/>
        <w:numPr>
          <w:ilvl w:val="1"/>
          <w:numId w:val="1030"/>
        </w:numPr>
      </w:pPr>
      <w:r>
        <w:t xml:space="preserve">مراجعة المؤهلات والخبرات السابقة للمتنافسين، بما في ذلك المشاريع المنفذة سابقًا في مجال الطاقة الشمسية. سيتم تقييم مدى نجاح هذه المشاريع وكيف تم تحقيق النتائج المرجوة.</w:t>
      </w:r>
    </w:p>
    <w:p>
      <w:pPr>
        <w:pStyle w:val="Compact"/>
        <w:numPr>
          <w:ilvl w:val="0"/>
          <w:numId w:val="1028"/>
        </w:numPr>
      </w:pPr>
      <w:r>
        <w:rPr>
          <w:b/>
          <w:bCs/>
        </w:rPr>
        <w:t xml:space="preserve">التفاصيل المالية:</w:t>
      </w:r>
    </w:p>
    <w:p>
      <w:pPr>
        <w:pStyle w:val="Compact"/>
        <w:numPr>
          <w:ilvl w:val="1"/>
          <w:numId w:val="1031"/>
        </w:numPr>
      </w:pPr>
      <w:r>
        <w:t xml:space="preserve">تحليل التكاليف الإجمالية المقدمة في العرض ومقارنتها مع العروض الأخرى. يجب أن تكون الأسعار تنافسية ومبررة وفقاً لتفاصيل تنفيذ المشروع. يتم منح نقاط إضافية للعروض التي تقدم خططًا لتقدير التكاليف بطريقة شفافة وعادلة.</w:t>
      </w:r>
    </w:p>
    <w:p>
      <w:pPr>
        <w:pStyle w:val="Compact"/>
        <w:numPr>
          <w:ilvl w:val="0"/>
          <w:numId w:val="1028"/>
        </w:numPr>
      </w:pPr>
      <w:r>
        <w:rPr>
          <w:b/>
          <w:bCs/>
        </w:rPr>
        <w:t xml:space="preserve">خطة التنفيذ:</w:t>
      </w:r>
    </w:p>
    <w:p>
      <w:pPr>
        <w:pStyle w:val="Compact"/>
        <w:numPr>
          <w:ilvl w:val="1"/>
          <w:numId w:val="1032"/>
        </w:numPr>
      </w:pPr>
      <w:r>
        <w:t xml:space="preserve">تقييم خطط التنفيذ المقدمة من المتنافسين، بما في ذلك الجدول الزمني والموارد البشرية والتقنية المخصصة لكل مرحلة من مراحل المشروع. يجب أن تتضمن الخطة آليات واضحة للرقابة التقدمية وأدوات لضمان الالتزام بالمواعيد.</w:t>
      </w:r>
    </w:p>
    <w:p>
      <w:pPr>
        <w:pStyle w:val="Compact"/>
        <w:numPr>
          <w:ilvl w:val="0"/>
          <w:numId w:val="1028"/>
        </w:numPr>
      </w:pPr>
      <w:r>
        <w:rPr>
          <w:b/>
          <w:bCs/>
        </w:rPr>
        <w:t xml:space="preserve">التقارير البيئية:</w:t>
      </w:r>
    </w:p>
    <w:p>
      <w:pPr>
        <w:pStyle w:val="Compact"/>
        <w:numPr>
          <w:ilvl w:val="1"/>
          <w:numId w:val="1033"/>
        </w:numPr>
      </w:pPr>
      <w:r>
        <w:t xml:space="preserve">مراجعة الشهادات والدراسات البيئية المقدمة مع العروض لتحديد مدى جدوى المشروع من الناحية البيئية وتأثيره على البيئة المحلية. يجب أن تتضمن العروض استراتيجيات فعالة للتخفيف من المخاطر البيئية.</w:t>
      </w:r>
    </w:p>
    <w:p>
      <w:pPr>
        <w:pStyle w:val="Compact"/>
        <w:numPr>
          <w:ilvl w:val="0"/>
          <w:numId w:val="1028"/>
        </w:numPr>
      </w:pPr>
      <w:r>
        <w:rPr>
          <w:b/>
          <w:bCs/>
        </w:rPr>
        <w:t xml:space="preserve">القدرة على التكيف والحل:</w:t>
      </w:r>
    </w:p>
    <w:p>
      <w:pPr>
        <w:pStyle w:val="Compact"/>
        <w:numPr>
          <w:ilvl w:val="1"/>
          <w:numId w:val="1034"/>
        </w:numPr>
      </w:pPr>
      <w:r>
        <w:t xml:space="preserve">تقييم قدرة المتنافسين على تكييف العروض استجابةً للتغيرات المحتملة في الظروف أو المتطلبات، وكذلك مرونتهم في إيجاد حلول فعالة للمشكلات التي قد تواجههم أثناء تنفيذ المشروع.</w:t>
      </w:r>
    </w:p>
    <w:p>
      <w:pPr>
        <w:pStyle w:val="Compact"/>
        <w:numPr>
          <w:ilvl w:val="0"/>
          <w:numId w:val="1028"/>
        </w:numPr>
      </w:pPr>
      <w:r>
        <w:rPr>
          <w:b/>
          <w:bCs/>
        </w:rPr>
        <w:t xml:space="preserve">الالتزام بالمعايير:</w:t>
      </w:r>
    </w:p>
    <w:p>
      <w:pPr>
        <w:pStyle w:val="Compact"/>
        <w:numPr>
          <w:ilvl w:val="1"/>
          <w:numId w:val="1035"/>
        </w:numPr>
      </w:pPr>
      <w:r>
        <w:t xml:space="preserve">دراسة التزام المتنافسين بالمعايير الفنية والتنظيمية المحددة وفقاً لتوجيهات الهيئة الإدارية، مع التركيز على مدى احترامهم لمتطلبات الجودة وكفاءة التشغيل.</w:t>
      </w:r>
    </w:p>
    <w:p>
      <w:pPr>
        <w:pStyle w:val="FirstParagraph"/>
      </w:pPr>
      <w:r>
        <w:t xml:space="preserve">سيتم احتساب درجة كل عرض بناءً على المعايير السابقة، وسيتم اختيار العرض الأفضل وفقًا للدرجات المحصلة. في حال تساوي درجات عروض متعددة، قد يتم دعوة المتنافسين لإجراء مناقشات إضافية أو خطوات تصحيحية حسب الحاجة. يهدف هذا النهج إلى ضمان اتخاذ قرار عادل وشفاف يدعم تحقيق الأهداف الطموحة للمشروع.</w:t>
      </w:r>
    </w:p>
    <w:p>
      <w:pPr>
        <w:pStyle w:val="BodyText"/>
      </w:pPr>
      <w:r>
        <w:rPr>
          <w:b/>
          <w:bCs/>
        </w:rPr>
        <w:t xml:space="preserve">القسم السادس: الشروط والأحكام العامة</w:t>
      </w:r>
    </w:p>
    <w:p>
      <w:pPr>
        <w:pStyle w:val="BodyText"/>
      </w:pPr>
      <w:r>
        <w:rPr>
          <w:b/>
          <w:bCs/>
        </w:rPr>
        <w:t xml:space="preserve">الشروط القانونية:</w:t>
      </w:r>
    </w:p>
    <w:p>
      <w:pPr>
        <w:pStyle w:val="BodyText"/>
      </w:pPr>
      <w:r>
        <w:t xml:space="preserve">تتضمن الشروط والأحكام العامة الضوابط القانونية والإجرائية التي يتعين على جميع المتقدمين الالتزام بها خلال مراحل تقديم العروض وتنفيذ المشروع. لضمان توافق العروض مع الأنظمة واللوائح المعمول بها في المملكة العربية السعودية، يجب على المتقدمين مراجعة الشروط التالية بعناية:</w:t>
      </w:r>
    </w:p>
    <w:p>
      <w:pPr>
        <w:pStyle w:val="Compact"/>
        <w:numPr>
          <w:ilvl w:val="0"/>
          <w:numId w:val="1036"/>
        </w:numPr>
      </w:pPr>
      <w:r>
        <w:rPr>
          <w:b/>
          <w:bCs/>
        </w:rPr>
        <w:t xml:space="preserve">الالتزام بالقوانين المحلية:</w:t>
      </w:r>
    </w:p>
    <w:p>
      <w:pPr>
        <w:pStyle w:val="Compact"/>
        <w:numPr>
          <w:ilvl w:val="1"/>
          <w:numId w:val="1037"/>
        </w:numPr>
      </w:pPr>
      <w:r>
        <w:t xml:space="preserve">يتعين على جميع المتقدمين الالتزام بكافة القوانين واللوائح المعمول بها في المملكة العربية السعودية، بما في ذلك القوانين المتعلقة بالبيئة، العمل، والصحة والسلامة.</w:t>
      </w:r>
    </w:p>
    <w:p>
      <w:pPr>
        <w:pStyle w:val="Compact"/>
        <w:numPr>
          <w:ilvl w:val="0"/>
          <w:numId w:val="1036"/>
        </w:numPr>
      </w:pPr>
      <w:r>
        <w:rPr>
          <w:b/>
          <w:bCs/>
        </w:rPr>
        <w:t xml:space="preserve">تراخيص العمل:</w:t>
      </w:r>
    </w:p>
    <w:p>
      <w:pPr>
        <w:pStyle w:val="Compact"/>
        <w:numPr>
          <w:ilvl w:val="1"/>
          <w:numId w:val="1038"/>
        </w:numPr>
      </w:pPr>
      <w:r>
        <w:t xml:space="preserve">يجب على المتقدمين تقديم الوثائق التي تثبت حصولهم على التراخيص المحلية اللازمة لممارسة أنشطة تركيب أنظمة الطاقة الشمسية، إضافةً إلى أي اعتمادات أخرى ذات صلة.</w:t>
      </w:r>
    </w:p>
    <w:p>
      <w:pPr>
        <w:pStyle w:val="Compact"/>
        <w:numPr>
          <w:ilvl w:val="0"/>
          <w:numId w:val="1036"/>
        </w:numPr>
      </w:pPr>
      <w:r>
        <w:rPr>
          <w:b/>
          <w:bCs/>
        </w:rPr>
        <w:t xml:space="preserve">احترام حقوق الملكية الفكرية:</w:t>
      </w:r>
    </w:p>
    <w:p>
      <w:pPr>
        <w:pStyle w:val="Compact"/>
        <w:numPr>
          <w:ilvl w:val="1"/>
          <w:numId w:val="1039"/>
        </w:numPr>
      </w:pPr>
      <w:r>
        <w:t xml:space="preserve">يجب أن تلتزم العروض المقدمة بعدم انتهاك حقوق الملكية الفكرية للغير. يتعهد المتقدمون بأن استخدام التقنيات والمعدات والمواد ستكون خاضعة للحقوق والامتيازات القانونية.</w:t>
      </w:r>
    </w:p>
    <w:p>
      <w:pPr>
        <w:pStyle w:val="Compact"/>
        <w:numPr>
          <w:ilvl w:val="0"/>
          <w:numId w:val="1036"/>
        </w:numPr>
      </w:pPr>
      <w:r>
        <w:rPr>
          <w:b/>
          <w:bCs/>
        </w:rPr>
        <w:t xml:space="preserve">أحكام التعاقد:</w:t>
      </w:r>
    </w:p>
    <w:p>
      <w:pPr>
        <w:pStyle w:val="Compact"/>
        <w:numPr>
          <w:ilvl w:val="1"/>
          <w:numId w:val="1040"/>
        </w:numPr>
      </w:pPr>
      <w:r>
        <w:t xml:space="preserve">يتعين على المتقدمين الالتزام بالشروط والأحكام الواردة في الاتفاقية الإطارية والتي سيتم توقيعها عند اختيار العرض الفائز. يجب أن تتضمن الاتفاقية تفاصيل عن حقوق والتزامات الطرفين، وآليات حل النزاعات.</w:t>
      </w:r>
    </w:p>
    <w:p>
      <w:pPr>
        <w:pStyle w:val="Compact"/>
        <w:numPr>
          <w:ilvl w:val="0"/>
          <w:numId w:val="1036"/>
        </w:numPr>
      </w:pPr>
      <w:r>
        <w:rPr>
          <w:b/>
          <w:bCs/>
        </w:rPr>
        <w:t xml:space="preserve">تأمين المشاريع:</w:t>
      </w:r>
    </w:p>
    <w:p>
      <w:pPr>
        <w:pStyle w:val="Compact"/>
        <w:numPr>
          <w:ilvl w:val="1"/>
          <w:numId w:val="1041"/>
        </w:numPr>
      </w:pPr>
      <w:r>
        <w:t xml:space="preserve">يجب على المتقدمين تقديم إثباتات عن وجود تأمينات مناسبة تغطي المخاطر المحتملة الناتجة عن تنفيذ المشروع، مثل الحوادث أو الأضرار الناتجة عن المعدات أو عمليات التركيب.</w:t>
      </w:r>
    </w:p>
    <w:p>
      <w:pPr>
        <w:pStyle w:val="Compact"/>
        <w:numPr>
          <w:ilvl w:val="0"/>
          <w:numId w:val="1036"/>
        </w:numPr>
      </w:pPr>
      <w:r>
        <w:rPr>
          <w:b/>
          <w:bCs/>
        </w:rPr>
        <w:t xml:space="preserve">الامتثال للمعايير الدولية:</w:t>
      </w:r>
    </w:p>
    <w:p>
      <w:pPr>
        <w:pStyle w:val="Compact"/>
        <w:numPr>
          <w:ilvl w:val="1"/>
          <w:numId w:val="1042"/>
        </w:numPr>
      </w:pPr>
      <w:r>
        <w:t xml:space="preserve">ينبغي على المتقدمين الالتزام بأعلى المعايير والممارسات الدولية المعتمدة في مجالات الهندسة، الإدارة البيئية، و السلامة، لضمان جودة التنفيذ وفاعلية الأنظمة.</w:t>
      </w:r>
    </w:p>
    <w:p>
      <w:pPr>
        <w:pStyle w:val="Compact"/>
        <w:numPr>
          <w:ilvl w:val="0"/>
          <w:numId w:val="1036"/>
        </w:numPr>
      </w:pPr>
      <w:r>
        <w:rPr>
          <w:b/>
          <w:bCs/>
        </w:rPr>
        <w:t xml:space="preserve">آلية الشكاوى:</w:t>
      </w:r>
    </w:p>
    <w:p>
      <w:pPr>
        <w:pStyle w:val="Compact"/>
        <w:numPr>
          <w:ilvl w:val="1"/>
          <w:numId w:val="1043"/>
        </w:numPr>
      </w:pPr>
      <w:r>
        <w:t xml:space="preserve">يتعين على المتقدمين أن يكونوا على دراية بآلية تقديم الشكاوى أو الاستفسارات المتعلقة بالمنافسة أو تنفيذ المشروع، وأن يلتزموا بالتعاون مع الهيئة الإدارية في حل أي مسائل قد تطرأ.</w:t>
      </w:r>
    </w:p>
    <w:p>
      <w:pPr>
        <w:pStyle w:val="Compact"/>
        <w:numPr>
          <w:ilvl w:val="0"/>
          <w:numId w:val="1036"/>
        </w:numPr>
      </w:pPr>
      <w:r>
        <w:rPr>
          <w:b/>
          <w:bCs/>
        </w:rPr>
        <w:t xml:space="preserve">أحكام التسوية:</w:t>
      </w:r>
    </w:p>
    <w:p>
      <w:pPr>
        <w:pStyle w:val="Compact"/>
        <w:numPr>
          <w:ilvl w:val="1"/>
          <w:numId w:val="1044"/>
        </w:numPr>
      </w:pPr>
      <w:r>
        <w:t xml:space="preserve">في حال حدوث أي نزاع أو خلاف بين الهيئة الإدارية والجهة المنفذة، يتم تسوية النزاع وفقًا للأنظمة واللوائح المحلية، ويجب أن يتعاون الطرفان للوصول إلى حل ودي.</w:t>
      </w:r>
    </w:p>
    <w:p>
      <w:pPr>
        <w:pStyle w:val="FirstParagraph"/>
      </w:pPr>
      <w:r>
        <w:t xml:space="preserve">تعتبر هذه الشروط والأحكام جزءاً أساسياً من عملية التقديم، حيث يسهم الالتزام بها في ضمان إجراء المنافسة بشكل شفاف ومنظم، ويعزز تحقيق نتائج إيجابية في تنفيذ المشروع. يجب على المتقدمين إدراك أن عدم الالتزام بأي من هذه الشروط قد يؤدي إلى رفض عروضهم أو إنهاء العقود الموقعة.</w:t>
      </w:r>
    </w:p>
    <w:p>
      <w:pPr>
        <w:pStyle w:val="BodyText"/>
      </w:pPr>
      <w:r>
        <w:rPr>
          <w:b/>
          <w:bCs/>
        </w:rPr>
        <w:t xml:space="preserve">القسم السابع: العقوبات والمخالفات</w:t>
      </w:r>
    </w:p>
    <w:p>
      <w:pPr>
        <w:pStyle w:val="BodyText"/>
      </w:pPr>
      <w:r>
        <w:rPr>
          <w:b/>
          <w:bCs/>
        </w:rPr>
        <w:t xml:space="preserve">العقوبات:</w:t>
      </w:r>
    </w:p>
    <w:p>
      <w:pPr>
        <w:pStyle w:val="BodyText"/>
      </w:pPr>
      <w:r>
        <w:t xml:space="preserve">تحدد هذه العقوبات والإجراءات التي ستتخذ في حال عدم الالتزام بشروط كراسة الشروط والمواصفات. تهدف هذه العقوبات إلى ضمان الالتزام الكامل من قبل المتقدمين وتنفيذ المشروع وفقًا للمعايير المحددة، وتعتبر جزءًا أساسيًا من عملية المنافسة. تشمل العقوبات ما يلي:</w:t>
      </w:r>
    </w:p>
    <w:p>
      <w:pPr>
        <w:pStyle w:val="Compact"/>
        <w:numPr>
          <w:ilvl w:val="0"/>
          <w:numId w:val="1045"/>
        </w:numPr>
      </w:pPr>
      <w:r>
        <w:rPr>
          <w:b/>
          <w:bCs/>
        </w:rPr>
        <w:t xml:space="preserve">الإنذار الكتابي:</w:t>
      </w:r>
    </w:p>
    <w:p>
      <w:pPr>
        <w:pStyle w:val="Compact"/>
        <w:numPr>
          <w:ilvl w:val="1"/>
          <w:numId w:val="1046"/>
        </w:numPr>
      </w:pPr>
      <w:r>
        <w:t xml:space="preserve">قد يتم توجيه إنذار كتابي للمتقدم في حال حدوث مخالفة بسيطة لشروط كراسة الشروط، مما يمنحهم فرصة لتصحيح المخالفة في فترة زمنية محددة.</w:t>
      </w:r>
    </w:p>
    <w:p>
      <w:pPr>
        <w:pStyle w:val="Compact"/>
        <w:numPr>
          <w:ilvl w:val="0"/>
          <w:numId w:val="1045"/>
        </w:numPr>
      </w:pPr>
      <w:r>
        <w:rPr>
          <w:b/>
          <w:bCs/>
        </w:rPr>
        <w:t xml:space="preserve">الغرامات المالية:</w:t>
      </w:r>
    </w:p>
    <w:p>
      <w:pPr>
        <w:pStyle w:val="Compact"/>
        <w:numPr>
          <w:ilvl w:val="1"/>
          <w:numId w:val="1047"/>
        </w:numPr>
      </w:pPr>
      <w:r>
        <w:t xml:space="preserve">قد تفرض غرامات مالية على المتقدمين الذين لا يلتزمون بالشروط الفنية أو المالية المتفق عليها، حسب نوع المخالفة ومدى تأثيرها على سير المشروع.</w:t>
      </w:r>
    </w:p>
    <w:p>
      <w:pPr>
        <w:pStyle w:val="Compact"/>
        <w:numPr>
          <w:ilvl w:val="0"/>
          <w:numId w:val="1045"/>
        </w:numPr>
      </w:pPr>
      <w:r>
        <w:rPr>
          <w:b/>
          <w:bCs/>
        </w:rPr>
        <w:t xml:space="preserve">إلغاء العقد:</w:t>
      </w:r>
    </w:p>
    <w:p>
      <w:pPr>
        <w:pStyle w:val="Compact"/>
        <w:numPr>
          <w:ilvl w:val="1"/>
          <w:numId w:val="1048"/>
        </w:numPr>
      </w:pPr>
      <w:r>
        <w:t xml:space="preserve">في حالات المخالفات الكبيرة أو المتكررة، قد يتخذ قرار بإلغاء العقد المبرم مع المتقدم. ويشمل ذلك عدم تنفيذ الأعمال المتفق عليها في المواعيد المحددة أو الفشل في تحقيق المعايير الفنية المطلوبة.</w:t>
      </w:r>
    </w:p>
    <w:p>
      <w:pPr>
        <w:pStyle w:val="Compact"/>
        <w:numPr>
          <w:ilvl w:val="0"/>
          <w:numId w:val="1045"/>
        </w:numPr>
      </w:pPr>
      <w:r>
        <w:rPr>
          <w:b/>
          <w:bCs/>
        </w:rPr>
        <w:t xml:space="preserve">الاستبعاد من المنافسات المستقبلية:</w:t>
      </w:r>
    </w:p>
    <w:p>
      <w:pPr>
        <w:pStyle w:val="Compact"/>
        <w:numPr>
          <w:ilvl w:val="1"/>
          <w:numId w:val="1049"/>
        </w:numPr>
      </w:pPr>
      <w:r>
        <w:t xml:space="preserve">قد يتسبب عدم الالتزام بشروط المناقصة في استبعاد المتقدم من المشاركة في أي منافسات مستقبلية تنظمها الهيئة الإدارية، لمدة تحدد حسب خطورة المخالفة.</w:t>
      </w:r>
    </w:p>
    <w:p>
      <w:pPr>
        <w:pStyle w:val="Compact"/>
        <w:numPr>
          <w:ilvl w:val="0"/>
          <w:numId w:val="1045"/>
        </w:numPr>
      </w:pPr>
      <w:r>
        <w:rPr>
          <w:b/>
          <w:bCs/>
        </w:rPr>
        <w:t xml:space="preserve">إرجاع المدفوعات:</w:t>
      </w:r>
    </w:p>
    <w:p>
      <w:pPr>
        <w:pStyle w:val="Compact"/>
        <w:numPr>
          <w:ilvl w:val="1"/>
          <w:numId w:val="1050"/>
        </w:numPr>
      </w:pPr>
      <w:r>
        <w:t xml:space="preserve">في حال تم دفع أي مبالغ مقدمة للمتقدمين قبل اكتشاف المخالفات، قد يتعين عليهم إعادة هذه المبالغ إلى الهيئة الإدارية مع أي غرامات محتملة.</w:t>
      </w:r>
    </w:p>
    <w:p>
      <w:pPr>
        <w:pStyle w:val="Compact"/>
        <w:numPr>
          <w:ilvl w:val="0"/>
          <w:numId w:val="1045"/>
        </w:numPr>
      </w:pPr>
      <w:r>
        <w:rPr>
          <w:b/>
          <w:bCs/>
        </w:rPr>
        <w:t xml:space="preserve">تحمل المسؤولية القانونية:</w:t>
      </w:r>
    </w:p>
    <w:p>
      <w:pPr>
        <w:pStyle w:val="Compact"/>
        <w:numPr>
          <w:ilvl w:val="1"/>
          <w:numId w:val="1051"/>
        </w:numPr>
      </w:pPr>
      <w:r>
        <w:t xml:space="preserve">في حال كانت المخالفة تمثل انتهاكًا للقوانين واللوائح المعمول بها، قد تتخذ الهيئة الإدارية الإجراءات القانونية اللازمة ضد المتقدمين وفقًا للقوانين المحلية، مما قد يؤدي إلى تحصيل التعويضات عن الأضرار المحتملة.</w:t>
      </w:r>
    </w:p>
    <w:p>
      <w:pPr>
        <w:pStyle w:val="Compact"/>
        <w:numPr>
          <w:ilvl w:val="0"/>
          <w:numId w:val="1045"/>
        </w:numPr>
      </w:pPr>
      <w:r>
        <w:rPr>
          <w:b/>
          <w:bCs/>
        </w:rPr>
        <w:t xml:space="preserve">إصلاح الأضرار:</w:t>
      </w:r>
    </w:p>
    <w:p>
      <w:pPr>
        <w:pStyle w:val="Compact"/>
        <w:numPr>
          <w:ilvl w:val="1"/>
          <w:numId w:val="1052"/>
        </w:numPr>
      </w:pPr>
      <w:r>
        <w:t xml:space="preserve">يتعين على المتقدمين تحمل مسؤولية إصلاح أي أضرار تنتج عن عدم الالتزام بالشروط، بما في ذلك الأضرار الناجمة عن أي تجهیزات أو أعمال غير مطابقة للمواصفات المحددة.</w:t>
      </w:r>
    </w:p>
    <w:p>
      <w:pPr>
        <w:pStyle w:val="FirstParagraph"/>
      </w:pPr>
      <w:r>
        <w:t xml:space="preserve">إن الالتزام بهذه العقوبات والإجراءات يكفل الحفاظ على نزاهة عمليات التقييم والتنفيذ، ويعزز الثقة بين الهيئة الإدارية والمتقدمين، مما يساهم في تحقيق أهداف المشروع بشكل فعال. يتحمل المتقدمون المسؤولية الكاملة لضمان الالتزام بشروط كراسة الشروط والمواصفات والإجراءات القانونية المعمول بها.</w:t>
      </w:r>
    </w:p>
    <w:p>
      <w:pPr>
        <w:pStyle w:val="BodyText"/>
      </w:pPr>
      <w:r>
        <w:rPr>
          <w:b/>
          <w:bCs/>
        </w:rPr>
        <w:t xml:space="preserve">القسم الثامن: الدعم الفني</w:t>
      </w:r>
    </w:p>
    <w:p>
      <w:pPr>
        <w:pStyle w:val="BodyText"/>
      </w:pPr>
      <w:r>
        <w:rPr>
          <w:b/>
          <w:bCs/>
        </w:rPr>
        <w:t xml:space="preserve">الدعم الفني للمشاركين:</w:t>
      </w:r>
    </w:p>
    <w:p>
      <w:pPr>
        <w:pStyle w:val="BodyText"/>
      </w:pPr>
      <w:r>
        <w:t xml:space="preserve">يعتبر الدعم الفني جزءًا أساسيًا لضمان نجاح تنفيذ المشروع وتحقيق الأهداف المرجوة. ستوفر الهيئة الإدارية معلومات شاملة للفائزين حول كيفية التعامل مع أي مشكلات قد تطرأ أثناء مرحلة التنفيذ. يشمل الدعم الفني ما يلي:</w:t>
      </w:r>
    </w:p>
    <w:p>
      <w:pPr>
        <w:pStyle w:val="Compact"/>
        <w:numPr>
          <w:ilvl w:val="0"/>
          <w:numId w:val="1053"/>
        </w:numPr>
      </w:pPr>
      <w:r>
        <w:rPr>
          <w:b/>
          <w:bCs/>
        </w:rPr>
        <w:t xml:space="preserve">نقطة الاتصال:</w:t>
      </w:r>
    </w:p>
    <w:p>
      <w:pPr>
        <w:pStyle w:val="Compact"/>
        <w:numPr>
          <w:ilvl w:val="1"/>
          <w:numId w:val="1054"/>
        </w:numPr>
      </w:pPr>
      <w:r>
        <w:t xml:space="preserve">سيتم تعيين نقطة اتصال رئيسية من قبل الهيئة الإدارية للرد على استفسارات الفائزين وتقديم الدعم الفني اللازم. يجب على الفائزين التواصل مع نقطة الاتصال لجميع المسائل الفنية والإجرائية المتعلقة بالمشروع.</w:t>
      </w:r>
    </w:p>
    <w:p>
      <w:pPr>
        <w:pStyle w:val="Compact"/>
        <w:numPr>
          <w:ilvl w:val="0"/>
          <w:numId w:val="1053"/>
        </w:numPr>
      </w:pPr>
      <w:r>
        <w:rPr>
          <w:b/>
          <w:bCs/>
        </w:rPr>
        <w:t xml:space="preserve">تدريب وورش عمل:</w:t>
      </w:r>
    </w:p>
    <w:p>
      <w:pPr>
        <w:pStyle w:val="Compact"/>
        <w:numPr>
          <w:ilvl w:val="1"/>
          <w:numId w:val="1055"/>
        </w:numPr>
      </w:pPr>
      <w:r>
        <w:t xml:space="preserve">سيتم تنظيم جلسات تدريب وورش عمل لتزويد الفرق الفنية للفائزين بالمعلومات اللازمة حول المعايير الفنية، الاستخدام الصحيح للتقنيات والمعدات، وأفضل الممارسات في تركيب أنظمة الطاقة الشمسية.</w:t>
      </w:r>
    </w:p>
    <w:p>
      <w:pPr>
        <w:pStyle w:val="Compact"/>
        <w:numPr>
          <w:ilvl w:val="0"/>
          <w:numId w:val="1053"/>
        </w:numPr>
      </w:pPr>
      <w:r>
        <w:rPr>
          <w:b/>
          <w:bCs/>
        </w:rPr>
        <w:t xml:space="preserve">إرشادات فنية:</w:t>
      </w:r>
    </w:p>
    <w:p>
      <w:pPr>
        <w:pStyle w:val="Compact"/>
        <w:numPr>
          <w:ilvl w:val="1"/>
          <w:numId w:val="1056"/>
        </w:numPr>
      </w:pPr>
      <w:r>
        <w:t xml:space="preserve">ستقوم الهيئة الإدارية بتوفير كتيبات إرشادية تحتوي على معلومات تفصيلية حول تركيب الأنظمة، الصيانة، والعمليات التشغيلية. يجب على الفائزين مراجعتها والامتثال للإجراءات الموضحة بها لضمان تنفيذ العمل بشكل فعال.</w:t>
      </w:r>
    </w:p>
    <w:p>
      <w:pPr>
        <w:pStyle w:val="Compact"/>
        <w:numPr>
          <w:ilvl w:val="0"/>
          <w:numId w:val="1053"/>
        </w:numPr>
      </w:pPr>
      <w:r>
        <w:rPr>
          <w:b/>
          <w:bCs/>
        </w:rPr>
        <w:t xml:space="preserve">تقديم المساعدة في حل المشكلات:</w:t>
      </w:r>
    </w:p>
    <w:p>
      <w:pPr>
        <w:pStyle w:val="Compact"/>
        <w:numPr>
          <w:ilvl w:val="1"/>
          <w:numId w:val="1057"/>
        </w:numPr>
      </w:pPr>
      <w:r>
        <w:t xml:space="preserve">في حال ظهور أي مشكلات تقنية أو تشغيلي، ستقوم الهيئة الإدارية بتقديم الدعم والمساعدة في إيجاد حلول مناسبة. يجب أن يتم الإبلاغ عن أي مشكلات على الفور، حيث ستقوم الهيئة بتقييم الوضع وتقديم المشورة اللازمة.</w:t>
      </w:r>
    </w:p>
    <w:p>
      <w:pPr>
        <w:pStyle w:val="Compact"/>
        <w:numPr>
          <w:ilvl w:val="0"/>
          <w:numId w:val="1053"/>
        </w:numPr>
      </w:pPr>
      <w:r>
        <w:rPr>
          <w:b/>
          <w:bCs/>
        </w:rPr>
        <w:t xml:space="preserve">تقارير دورية:</w:t>
      </w:r>
    </w:p>
    <w:p>
      <w:pPr>
        <w:pStyle w:val="Compact"/>
        <w:numPr>
          <w:ilvl w:val="1"/>
          <w:numId w:val="1058"/>
        </w:numPr>
      </w:pPr>
      <w:r>
        <w:t xml:space="preserve">يُطلب من الفائزين إعداد تقارير دورية توضح تقدم العمل، العقبات التي تواجههم، وأي حاجة للدعم الفني. سيمكن ذلك الهيئة الإدارية من الرصد المبكر للمشاكل وتقديم المساعدة بشكل فوري.</w:t>
      </w:r>
    </w:p>
    <w:p>
      <w:pPr>
        <w:pStyle w:val="Compact"/>
        <w:numPr>
          <w:ilvl w:val="0"/>
          <w:numId w:val="1053"/>
        </w:numPr>
      </w:pPr>
      <w:r>
        <w:rPr>
          <w:b/>
          <w:bCs/>
        </w:rPr>
        <w:t xml:space="preserve">إدارة الأزمات:</w:t>
      </w:r>
    </w:p>
    <w:p>
      <w:pPr>
        <w:pStyle w:val="Compact"/>
        <w:numPr>
          <w:ilvl w:val="1"/>
          <w:numId w:val="1059"/>
        </w:numPr>
      </w:pPr>
      <w:r>
        <w:t xml:space="preserve">يجب أن تتضمن الخطط المقدمة من الفائزين استراتيجيات لإدارة الأزمات المحتملة. ويتعين عليهم توضيح كيفية استجابة الفرق للتحديات المفاجئة وضمان استمرارية العمل.</w:t>
      </w:r>
    </w:p>
    <w:p>
      <w:pPr>
        <w:pStyle w:val="Compact"/>
        <w:numPr>
          <w:ilvl w:val="0"/>
          <w:numId w:val="1053"/>
        </w:numPr>
      </w:pPr>
      <w:r>
        <w:rPr>
          <w:b/>
          <w:bCs/>
        </w:rPr>
        <w:t xml:space="preserve">التقييم والمتابعة:</w:t>
      </w:r>
    </w:p>
    <w:p>
      <w:pPr>
        <w:pStyle w:val="Compact"/>
        <w:numPr>
          <w:ilvl w:val="1"/>
          <w:numId w:val="1060"/>
        </w:numPr>
      </w:pPr>
      <w:r>
        <w:t xml:space="preserve">ستقوم الهيئة الإدارية بإجراء تقييمات دورية للمشروعات المنفذة، وذلك لضمان تحقيق الجودة المطلوبة وتقديم التعليقات البناءة للفائزين للتحسين المستمر.</w:t>
      </w:r>
    </w:p>
    <w:p>
      <w:pPr>
        <w:pStyle w:val="FirstParagraph"/>
      </w:pPr>
      <w:r>
        <w:t xml:space="preserve">يُعتبر هذا الدعم الفني ركيزة أساسية لضمان توافق العمليات مع الجدول الزمني المحدد وتحقيق الأهداف البيئية والتجارية للمشروع. يجب على الفائزين الاستفادة الكاملة من الدعم المتاح والعمل بشكل وثيق مع الهيئة الإدارية لتحقيق نجاح المشروع.</w:t>
      </w:r>
    </w:p>
    <w:p>
      <w:pPr>
        <w:pStyle w:val="BodyText"/>
      </w:pPr>
      <w:r>
        <w:rPr>
          <w:b/>
          <w:bCs/>
        </w:rPr>
        <w:t xml:space="preserve">القسم التاسع: الجدول الزمني للمشروع</w:t>
      </w:r>
    </w:p>
    <w:p>
      <w:pPr>
        <w:pStyle w:val="BodyText"/>
      </w:pPr>
      <w:r>
        <w:rPr>
          <w:b/>
          <w:bCs/>
        </w:rPr>
        <w:t xml:space="preserve">مدة التنفيذ:</w:t>
      </w:r>
    </w:p>
    <w:p>
      <w:pPr>
        <w:pStyle w:val="BodyText"/>
      </w:pPr>
      <w:r>
        <w:t xml:space="preserve">يعتبر تحديد الجدول الزمني للمشروع من العناصر الأساسية التي تسهم في تنظيم العمل وضمان تحقيق الأهداف المحددة في الأوقات المناسبة. يجب على المتنافسين تقديم جدول زمني مفصل يتضمن مراحل تنفيذ المشروع الرئيسية والمدة الزمنية لكل مرحلة، مع توضيح التواريخ المستهدفة للبدء والانتهاء. تتكون مدة التنفيذ من المراحل التالية:</w:t>
      </w:r>
    </w:p>
    <w:p>
      <w:pPr>
        <w:pStyle w:val="Compact"/>
        <w:numPr>
          <w:ilvl w:val="0"/>
          <w:numId w:val="1061"/>
        </w:numPr>
      </w:pPr>
      <w:r>
        <w:rPr>
          <w:b/>
          <w:bCs/>
        </w:rPr>
        <w:t xml:space="preserve">مرحلة التخطيط والدراسات الميدانية:</w:t>
      </w:r>
    </w:p>
    <w:p>
      <w:pPr>
        <w:pStyle w:val="Compact"/>
        <w:numPr>
          <w:ilvl w:val="1"/>
          <w:numId w:val="1062"/>
        </w:numPr>
      </w:pPr>
      <w:r>
        <w:t xml:space="preserve">الزمن المتوقع: [تحديد المدة بالأسابيع/الأشهر]</w:t>
      </w:r>
    </w:p>
    <w:p>
      <w:pPr>
        <w:pStyle w:val="Compact"/>
        <w:numPr>
          <w:ilvl w:val="1"/>
          <w:numId w:val="1062"/>
        </w:numPr>
      </w:pPr>
      <w:r>
        <w:t xml:space="preserve">تشمل هذه المرحلة إجراء دراسات شاملة لتحديد المواقع وتحليل العوامل البيئية والتقنية المطلوبة.</w:t>
      </w:r>
    </w:p>
    <w:p>
      <w:pPr>
        <w:pStyle w:val="Compact"/>
        <w:numPr>
          <w:ilvl w:val="0"/>
          <w:numId w:val="1061"/>
        </w:numPr>
      </w:pPr>
      <w:r>
        <w:rPr>
          <w:b/>
          <w:bCs/>
        </w:rPr>
        <w:t xml:space="preserve">مرحلة التصميم:</w:t>
      </w:r>
    </w:p>
    <w:p>
      <w:pPr>
        <w:pStyle w:val="Compact"/>
        <w:numPr>
          <w:ilvl w:val="1"/>
          <w:numId w:val="1063"/>
        </w:numPr>
      </w:pPr>
      <w:r>
        <w:t xml:space="preserve">الزمن المتوقع: [تحديد المدة بالأسابيع/الأشهر]</w:t>
      </w:r>
    </w:p>
    <w:p>
      <w:pPr>
        <w:pStyle w:val="Compact"/>
        <w:numPr>
          <w:ilvl w:val="1"/>
          <w:numId w:val="1063"/>
        </w:numPr>
      </w:pPr>
      <w:r>
        <w:t xml:space="preserve">تتضمن تطوير التصاميم التفصيلية الخاصة بأنظمة الطاقة الشمسية والمكونات اللازمة.</w:t>
      </w:r>
    </w:p>
    <w:p>
      <w:pPr>
        <w:pStyle w:val="Compact"/>
        <w:numPr>
          <w:ilvl w:val="0"/>
          <w:numId w:val="1061"/>
        </w:numPr>
      </w:pPr>
      <w:r>
        <w:rPr>
          <w:b/>
          <w:bCs/>
        </w:rPr>
        <w:t xml:space="preserve">مرحلة التركيب:</w:t>
      </w:r>
    </w:p>
    <w:p>
      <w:pPr>
        <w:pStyle w:val="Compact"/>
        <w:numPr>
          <w:ilvl w:val="1"/>
          <w:numId w:val="1064"/>
        </w:numPr>
      </w:pPr>
      <w:r>
        <w:t xml:space="preserve">الزمن المتوقع: [تحديد المدة بالأسابيع/الأشهر]</w:t>
      </w:r>
    </w:p>
    <w:p>
      <w:pPr>
        <w:pStyle w:val="Compact"/>
        <w:numPr>
          <w:ilvl w:val="1"/>
          <w:numId w:val="1064"/>
        </w:numPr>
      </w:pPr>
      <w:r>
        <w:t xml:space="preserve">تشمل تركيب جميع المكونات والأجهزة اللازمة لتوليد الطاقة الشمسية وفقًا للخطط المتفق عليها.</w:t>
      </w:r>
    </w:p>
    <w:p>
      <w:pPr>
        <w:pStyle w:val="Compact"/>
        <w:numPr>
          <w:ilvl w:val="0"/>
          <w:numId w:val="1061"/>
        </w:numPr>
      </w:pPr>
      <w:r>
        <w:rPr>
          <w:b/>
          <w:bCs/>
        </w:rPr>
        <w:t xml:space="preserve">مرحلة الاختبار والتشغيل:</w:t>
      </w:r>
    </w:p>
    <w:p>
      <w:pPr>
        <w:pStyle w:val="Compact"/>
        <w:numPr>
          <w:ilvl w:val="1"/>
          <w:numId w:val="1065"/>
        </w:numPr>
      </w:pPr>
      <w:r>
        <w:t xml:space="preserve">الزمن المتوقع: [تحديد المدة بالأسابيع/الأشهر]</w:t>
      </w:r>
    </w:p>
    <w:p>
      <w:pPr>
        <w:pStyle w:val="Compact"/>
        <w:numPr>
          <w:ilvl w:val="1"/>
          <w:numId w:val="1065"/>
        </w:numPr>
      </w:pPr>
      <w:r>
        <w:t xml:space="preserve">تشمل إجراء اختبارات شاملة لضمان كفاءة الأنظمة قبل البدء في التشغيل الفعلي.</w:t>
      </w:r>
    </w:p>
    <w:p>
      <w:pPr>
        <w:pStyle w:val="Compact"/>
        <w:numPr>
          <w:ilvl w:val="0"/>
          <w:numId w:val="1061"/>
        </w:numPr>
      </w:pPr>
      <w:r>
        <w:rPr>
          <w:b/>
          <w:bCs/>
        </w:rPr>
        <w:t xml:space="preserve">مرحلة الصيانة والدعم الفني:</w:t>
      </w:r>
    </w:p>
    <w:p>
      <w:pPr>
        <w:pStyle w:val="Compact"/>
        <w:numPr>
          <w:ilvl w:val="1"/>
          <w:numId w:val="1066"/>
        </w:numPr>
      </w:pPr>
      <w:r>
        <w:t xml:space="preserve">الزمن المتوقع: [تحديد المدة بالأسابيع/الأشهر]</w:t>
      </w:r>
    </w:p>
    <w:p>
      <w:pPr>
        <w:pStyle w:val="Compact"/>
        <w:numPr>
          <w:ilvl w:val="1"/>
          <w:numId w:val="1066"/>
        </w:numPr>
      </w:pPr>
      <w:r>
        <w:t xml:space="preserve">تتضمن تقديم خدمات الصيانة اللازمة والدعم الفني لمدة [تحديد مدة الصيانة] بعد عملية التركيب.</w:t>
      </w:r>
    </w:p>
    <w:p>
      <w:pPr>
        <w:pStyle w:val="FirstParagraph"/>
      </w:pPr>
      <w:r>
        <w:t xml:space="preserve">يشترط على المتنافسين توضيح أي اعتبارات أو تحديات محتملة قد تؤثر على الجدول الزمني للمشروع، فضلاً عن استراتيجيات التخفيف التي سيتم تبنيها لضمان الالتزام بالمواعيد المحددة. يجب أن يكون الجدول الزمني معقولاً ومبنيًا على تجارب سابقة، مع وضع فترات زمنية كافية لاستكمال كل مرحلة من مراحل المشروع بكفاءة.</w:t>
      </w:r>
    </w:p>
    <w:p>
      <w:pPr>
        <w:pStyle w:val="BodyText"/>
      </w:pPr>
      <w:r>
        <w:t xml:space="preserve">سيساعد الالتزام بهذا الجدول الزمني في إدارة المشروع بفاعلية وتحقيق النتائج المطلوبة ضمن الإطار الزمني المحدد.</w:t>
      </w:r>
    </w:p>
    <w:p>
      <w:pPr>
        <w:pStyle w:val="BodyText"/>
      </w:pPr>
      <w:r>
        <w:rPr>
          <w:b/>
          <w:bCs/>
        </w:rPr>
        <w:t xml:space="preserve">القسم العاشر: الاتصال والمعلومات</w:t>
      </w:r>
    </w:p>
    <w:p>
      <w:pPr>
        <w:pStyle w:val="BodyText"/>
      </w:pPr>
      <w:r>
        <w:rPr>
          <w:b/>
          <w:bCs/>
        </w:rPr>
        <w:t xml:space="preserve">بيانات الاتصال:</w:t>
      </w:r>
    </w:p>
    <w:p>
      <w:pPr>
        <w:pStyle w:val="BodyText"/>
      </w:pPr>
      <w:r>
        <w:t xml:space="preserve">لضمان التواصل الفعال بين المتقدمين والهيئة الإدارية، يُطلب من جميع المتنافسين استخدام بيانات الاتصال المحددة أدناه في حال وجود أي استفسارات أو حاجة إلى مزيد من المعلومات حول كراسة الشروط والمواصفات أو عملية التقديم:</w:t>
      </w:r>
    </w:p>
    <w:p>
      <w:pPr>
        <w:pStyle w:val="Compact"/>
        <w:numPr>
          <w:ilvl w:val="0"/>
          <w:numId w:val="1067"/>
        </w:numPr>
      </w:pPr>
      <w:r>
        <w:rPr>
          <w:b/>
          <w:bCs/>
        </w:rPr>
        <w:t xml:space="preserve">البريد الإلكتروني</w:t>
      </w:r>
      <w:r>
        <w:t xml:space="preserve">:</w:t>
      </w:r>
      <w:r>
        <w:t xml:space="preserve"> </w:t>
      </w:r>
      <w:hyperlink r:id="rId20">
        <w:r>
          <w:rPr>
            <w:rStyle w:val="Hyperlink"/>
          </w:rPr>
          <w:t xml:space="preserve">m@123.com</w:t>
        </w:r>
      </w:hyperlink>
    </w:p>
    <w:p>
      <w:pPr>
        <w:pStyle w:val="Compact"/>
        <w:numPr>
          <w:ilvl w:val="0"/>
          <w:numId w:val="1067"/>
        </w:numPr>
      </w:pPr>
      <w:r>
        <w:rPr>
          <w:b/>
          <w:bCs/>
        </w:rPr>
        <w:t xml:space="preserve">رقم الهاتف</w:t>
      </w:r>
      <w:r>
        <w:t xml:space="preserve">: [تحديد رقم الهاتف]</w:t>
      </w:r>
    </w:p>
    <w:p>
      <w:pPr>
        <w:pStyle w:val="Compact"/>
        <w:numPr>
          <w:ilvl w:val="0"/>
          <w:numId w:val="1067"/>
        </w:numPr>
      </w:pPr>
      <w:r>
        <w:rPr>
          <w:b/>
          <w:bCs/>
        </w:rPr>
        <w:t xml:space="preserve">العنوان البريدي</w:t>
      </w:r>
      <w:r>
        <w:t xml:space="preserve">: [تحديد العنوان]</w:t>
      </w:r>
    </w:p>
    <w:p>
      <w:pPr>
        <w:pStyle w:val="FirstParagraph"/>
      </w:pPr>
      <w:r>
        <w:t xml:space="preserve">يجب على المتقدمين توجيه استفساراتهم عبر البريد الإلكتروني المدرج أعلاه، حيث سيتم الرد على جميع الاستفسارات خلال مدة زمنية معقولة. يرجى تضمين تفاصيل المنافسة ورقم المناقصة في موضوع الرسالة لضمان سرعة الاستجابة.</w:t>
      </w:r>
    </w:p>
    <w:p>
      <w:pPr>
        <w:pStyle w:val="BodyText"/>
      </w:pPr>
      <w:r>
        <w:t xml:space="preserve">يُشجع المتقدمون على التواصل للحصول على التوضيحات اللازمة لتقديم عروضهم بشكل شامل ومنظم، مما يسهم في تحقيق نتائج ناجحة للمشروع.</w:t>
      </w:r>
    </w:p>
    <w:p>
      <w:pPr>
        <w:pStyle w:val="BodyText"/>
      </w:pPr>
      <w:r>
        <w:rPr>
          <w:b/>
          <w:bCs/>
        </w:rPr>
        <w:t xml:space="preserve">القسم الحادي عشر: المرفقات</w:t>
      </w:r>
    </w:p>
    <w:p>
      <w:pPr>
        <w:pStyle w:val="BodyText"/>
      </w:pPr>
      <w:r>
        <w:rPr>
          <w:b/>
          <w:bCs/>
        </w:rPr>
        <w:t xml:space="preserve">مستندات إضافية:</w:t>
      </w:r>
    </w:p>
    <w:p>
      <w:pPr>
        <w:pStyle w:val="BodyText"/>
      </w:pPr>
      <w:r>
        <w:t xml:space="preserve">تتضمن المرفقات التالية مستندات ومعلومات إضافية تعتبر ضرورية لدعم المتقدمين خلال عملية تقديم العروض وتنفيذ المشروع. يُنصح المشاركون بمراجعتها بعناية واستخدامها كمرجع لتحسين جودة عروضهم:</w:t>
      </w:r>
    </w:p>
    <w:p>
      <w:pPr>
        <w:pStyle w:val="Compact"/>
        <w:numPr>
          <w:ilvl w:val="0"/>
          <w:numId w:val="1068"/>
        </w:numPr>
      </w:pPr>
      <w:r>
        <w:rPr>
          <w:b/>
          <w:bCs/>
        </w:rPr>
        <w:t xml:space="preserve">المخططات الهندسية:</w:t>
      </w:r>
    </w:p>
    <w:p>
      <w:pPr>
        <w:pStyle w:val="Compact"/>
        <w:numPr>
          <w:ilvl w:val="1"/>
          <w:numId w:val="1069"/>
        </w:numPr>
      </w:pPr>
      <w:r>
        <w:t xml:space="preserve">مجموعة من المخططات التفصيلية التي توضح تخطيط وتركيب أنظمة الطاقة الشمسية في المواقع المستهدفة.</w:t>
      </w:r>
    </w:p>
    <w:p>
      <w:pPr>
        <w:pStyle w:val="Compact"/>
        <w:numPr>
          <w:ilvl w:val="0"/>
          <w:numId w:val="1068"/>
        </w:numPr>
      </w:pPr>
      <w:r>
        <w:rPr>
          <w:b/>
          <w:bCs/>
        </w:rPr>
        <w:t xml:space="preserve">دراسات الجدوى:</w:t>
      </w:r>
    </w:p>
    <w:p>
      <w:pPr>
        <w:pStyle w:val="Compact"/>
        <w:numPr>
          <w:ilvl w:val="1"/>
          <w:numId w:val="1070"/>
        </w:numPr>
      </w:pPr>
      <w:r>
        <w:t xml:space="preserve">تقارير تفصيلية تتناول الجوانب الاقتصادية والبيئية للمشروع، وتشمل التحليل المالي وفوائد الطاقة الشمسية على المدى الطويل.</w:t>
      </w:r>
    </w:p>
    <w:p>
      <w:pPr>
        <w:pStyle w:val="Compact"/>
        <w:numPr>
          <w:ilvl w:val="0"/>
          <w:numId w:val="1068"/>
        </w:numPr>
      </w:pPr>
      <w:r>
        <w:rPr>
          <w:b/>
          <w:bCs/>
        </w:rPr>
        <w:t xml:space="preserve">الأدلة الفنية:</w:t>
      </w:r>
    </w:p>
    <w:p>
      <w:pPr>
        <w:pStyle w:val="Compact"/>
        <w:numPr>
          <w:ilvl w:val="1"/>
          <w:numId w:val="1071"/>
        </w:numPr>
      </w:pPr>
      <w:r>
        <w:t xml:space="preserve">كتيبات تحتوي على مواصفات المعدات والتكنولوجيا المستخدمة، بما في ذلك المكونات الكهربائية والألواح الشمسية.</w:t>
      </w:r>
    </w:p>
    <w:p>
      <w:pPr>
        <w:pStyle w:val="Compact"/>
        <w:numPr>
          <w:ilvl w:val="0"/>
          <w:numId w:val="1068"/>
        </w:numPr>
      </w:pPr>
      <w:r>
        <w:rPr>
          <w:b/>
          <w:bCs/>
        </w:rPr>
        <w:t xml:space="preserve">نموذج اتفاقية الإطارية:</w:t>
      </w:r>
    </w:p>
    <w:p>
      <w:pPr>
        <w:pStyle w:val="Compact"/>
        <w:numPr>
          <w:ilvl w:val="1"/>
          <w:numId w:val="1072"/>
        </w:numPr>
      </w:pPr>
      <w:r>
        <w:t xml:space="preserve">صيغة اتفاقية الإطارية التي سيتم توقيعها مع المتقدم الفائز، تحتوي على الشروط والأحكام المتعلقة بتنفيذ المشروع.</w:t>
      </w:r>
    </w:p>
    <w:p>
      <w:pPr>
        <w:pStyle w:val="Compact"/>
        <w:numPr>
          <w:ilvl w:val="0"/>
          <w:numId w:val="1068"/>
        </w:numPr>
      </w:pPr>
      <w:r>
        <w:rPr>
          <w:b/>
          <w:bCs/>
        </w:rPr>
        <w:t xml:space="preserve">تقارير سابقة للأداء:</w:t>
      </w:r>
    </w:p>
    <w:p>
      <w:pPr>
        <w:pStyle w:val="Compact"/>
        <w:numPr>
          <w:ilvl w:val="1"/>
          <w:numId w:val="1073"/>
        </w:numPr>
      </w:pPr>
      <w:r>
        <w:t xml:space="preserve">بيانات ومعلومات عن مشاريع سابقة تم تنفيذها بنجاح في مجال الطاقة الشمسية، تتضمن تفاصيل الأداء والنتائج المحققة.</w:t>
      </w:r>
    </w:p>
    <w:p>
      <w:pPr>
        <w:pStyle w:val="Compact"/>
        <w:numPr>
          <w:ilvl w:val="0"/>
          <w:numId w:val="1068"/>
        </w:numPr>
      </w:pPr>
      <w:r>
        <w:rPr>
          <w:b/>
          <w:bCs/>
        </w:rPr>
        <w:t xml:space="preserve">مستندات التراخيص والشهادات:</w:t>
      </w:r>
    </w:p>
    <w:p>
      <w:pPr>
        <w:pStyle w:val="Compact"/>
        <w:numPr>
          <w:ilvl w:val="1"/>
          <w:numId w:val="1074"/>
        </w:numPr>
      </w:pPr>
      <w:r>
        <w:t xml:space="preserve">نسخ من التراخيص والتصديقات المطلوبة من الجهات الحكومية المعنية، مما يضمن الامتثال للمتطلبات القانونية.</w:t>
      </w:r>
    </w:p>
    <w:p>
      <w:pPr>
        <w:pStyle w:val="Compact"/>
        <w:numPr>
          <w:ilvl w:val="0"/>
          <w:numId w:val="1068"/>
        </w:numPr>
      </w:pPr>
      <w:r>
        <w:rPr>
          <w:b/>
          <w:bCs/>
        </w:rPr>
        <w:t xml:space="preserve">نموذج الجدول الزمني للتنفيذ:</w:t>
      </w:r>
    </w:p>
    <w:p>
      <w:pPr>
        <w:pStyle w:val="Compact"/>
        <w:numPr>
          <w:ilvl w:val="1"/>
          <w:numId w:val="1075"/>
        </w:numPr>
      </w:pPr>
      <w:r>
        <w:t xml:space="preserve">مثال على جدول زمني يمكن استخدامه كمرجع لتقديم الجدول الزمني المقترح للتنفيذ.</w:t>
      </w:r>
    </w:p>
    <w:p>
      <w:pPr>
        <w:pStyle w:val="Compact"/>
        <w:numPr>
          <w:ilvl w:val="0"/>
          <w:numId w:val="1068"/>
        </w:numPr>
      </w:pPr>
      <w:r>
        <w:rPr>
          <w:b/>
          <w:bCs/>
        </w:rPr>
        <w:t xml:space="preserve">مواد تسويقية وإعلامية:</w:t>
      </w:r>
    </w:p>
    <w:p>
      <w:pPr>
        <w:pStyle w:val="Compact"/>
        <w:numPr>
          <w:ilvl w:val="1"/>
          <w:numId w:val="1076"/>
        </w:numPr>
      </w:pPr>
      <w:r>
        <w:t xml:space="preserve">معلومات وحملات توعوية تتعلق بفوائد الطاقة الشمسية والتقنيات الحديثة، يمكن أن تساعد في تعزيز فهم الجمهور للمشروع.</w:t>
      </w:r>
    </w:p>
    <w:p>
      <w:pPr>
        <w:pStyle w:val="FirstParagraph"/>
      </w:pPr>
      <w:r>
        <w:t xml:space="preserve">يجدر بالمتقدمين الاطلاع على هذه المستندات الإضافية للاستفادة من المعلومات المتوفرة، مما يساهم في إعداد عروض أكثر دقة واحترافية. يوصى بالحفاظ على تكامل الأوراق المقدمة وضمان تطابقها مع متطلبات كراسة الشروط والمواصفات.</w:t>
      </w:r>
    </w:p>
    <w:sectPr w:rsidR="002828B4" w:rsidRPr="002828B4">
      <w:headerReference r:id="rId9" w:type="default"/>
      <w:footerReference r:id="rId10" w:type="default"/>
      <w:pgSz w:h="16840" w:w="11910"/>
      <w:pgMar w:bottom="1100" w:footer="901" w:gutter="0" w:header="304" w:left="992" w:right="850" w:top="16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panose1 w:val="00000000000000000000"/>
    <w:charset w:val="00"/>
    <w:family w:val="auto"/>
    <w:pitch w:val="variable"/>
    <w:sig w:usb0="A000206F" w:usb1="8200204A" w:usb2="00000008" w:usb3="00000000" w:csb0="000000D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D3E4" w14:textId="77777777" w:rsidR="00F40164" w:rsidRDefault="00000000">
    <w:pPr>
      <w:pStyle w:val="BodyText"/>
      <w:spacing w:line="14" w:lineRule="auto"/>
      <w:rPr>
        <w:sz w:val="20"/>
      </w:rPr>
    </w:pPr>
    <w:r>
      <w:rPr>
        <w:noProof/>
        <w:sz w:val="20"/>
      </w:rPr>
      <mc:AlternateContent>
        <mc:Choice Requires="wps">
          <w:drawing>
            <wp:anchor distT="0" distB="0" distL="0" distR="0" simplePos="0" relativeHeight="251749376" behindDoc="1" locked="0" layoutInCell="1" allowOverlap="1" wp14:anchorId="37912EBF" wp14:editId="57BB1A18">
              <wp:simplePos x="0" y="0"/>
              <wp:positionH relativeFrom="page">
                <wp:posOffset>609600</wp:posOffset>
              </wp:positionH>
              <wp:positionV relativeFrom="page">
                <wp:posOffset>10259580</wp:posOffset>
              </wp:positionV>
              <wp:extent cx="6443980" cy="635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60CF65" id="Graphic 156" o:spid="_x0000_s1026" style="position:absolute;margin-left:48pt;margin-top:807.85pt;width:507.4pt;height:.5pt;z-index:-25156710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4496" behindDoc="1" locked="0" layoutInCell="1" allowOverlap="1" wp14:anchorId="3FE4FA36" wp14:editId="4E5FCE3F">
              <wp:simplePos x="0" y="0"/>
              <wp:positionH relativeFrom="page">
                <wp:posOffset>609600</wp:posOffset>
              </wp:positionH>
              <wp:positionV relativeFrom="page">
                <wp:posOffset>9942588</wp:posOffset>
              </wp:positionV>
              <wp:extent cx="6443980" cy="635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C3622D" id="Graphic 157" o:spid="_x0000_s1026" style="position:absolute;margin-left:48pt;margin-top:782.9pt;width:507.4pt;height:.5pt;z-index:-25156198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9616" behindDoc="1" locked="0" layoutInCell="1" allowOverlap="1" wp14:anchorId="4C781E8D" wp14:editId="3738F4FE">
              <wp:simplePos x="0" y="0"/>
              <wp:positionH relativeFrom="page">
                <wp:posOffset>5935211</wp:posOffset>
              </wp:positionH>
              <wp:positionV relativeFrom="page">
                <wp:posOffset>9963022</wp:posOffset>
              </wp:positionV>
              <wp:extent cx="539115" cy="30607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 cy="306070"/>
                      </a:xfrm>
                      <a:prstGeom prst="rect">
                        <a:avLst/>
                      </a:prstGeom>
                    </wps:spPr>
                    <wps:txbx>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wps:txbx>
                    <wps:bodyPr wrap="square" lIns="0" tIns="0" rIns="0" bIns="0" rtlCol="0">
                      <a:noAutofit/>
                    </wps:bodyPr>
                  </wps:wsp>
                </a:graphicData>
              </a:graphic>
            </wp:anchor>
          </w:drawing>
        </mc:Choice>
        <mc:Fallback>
          <w:pict>
            <v:shapetype w14:anchorId="4C781E8D" id="_x0000_t202" coordsize="21600,21600" o:spt="202" path="m,l,21600r21600,l21600,xe">
              <v:stroke joinstyle="miter"/>
              <v:path gradientshapeok="t" o:connecttype="rect"/>
            </v:shapetype>
            <v:shape id="Textbox 158" o:spid="_x0000_s1027" type="#_x0000_t202" style="position:absolute;left:0;text-align:left;margin-left:467.35pt;margin-top:784.5pt;width:42.45pt;height:24.1pt;z-index:-25155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" filled="f" stroked="f">
              <v:textbox inset="0,0,0,0">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v:textbox>
              <w10:wrap anchorx="page" anchory="page"/>
            </v:shape>
          </w:pict>
        </mc:Fallback>
      </mc:AlternateContent>
    </w:r>
    <w:r>
      <w:rPr>
        <w:noProof/>
        <w:sz w:val="20"/>
      </w:rPr>
      <mc:AlternateContent>
        <mc:Choice Requires="wps">
          <w:drawing>
            <wp:anchor distT="0" distB="0" distL="0" distR="0" simplePos="0" relativeHeight="251764736" behindDoc="1" locked="0" layoutInCell="1" allowOverlap="1" wp14:anchorId="1F1B9216" wp14:editId="7FC01959">
              <wp:simplePos x="0" y="0"/>
              <wp:positionH relativeFrom="page">
                <wp:posOffset>752652</wp:posOffset>
              </wp:positionH>
              <wp:positionV relativeFrom="page">
                <wp:posOffset>10012229</wp:posOffset>
              </wp:positionV>
              <wp:extent cx="1238250" cy="17907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179070"/>
                      </a:xfrm>
                      <a:prstGeom prst="rect">
                        <a:avLst/>
                      </a:prstGeom>
                    </wps:spPr>
                    <wps:txbx>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1F1B9216" id="Textbox 159" o:spid="_x0000_s1028" type="#_x0000_t202" style="position:absolute;left:0;text-align:left;margin-left:59.25pt;margin-top:788.35pt;width:97.5pt;height:14.1pt;z-index:-25155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" filled="f" stroked="f">
              <v:textbox inset="0,0,0,0">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69856" behindDoc="1" locked="0" layoutInCell="1" allowOverlap="1" wp14:anchorId="079976DA" wp14:editId="25714511">
              <wp:simplePos x="0" y="0"/>
              <wp:positionH relativeFrom="page">
                <wp:posOffset>3930777</wp:posOffset>
              </wp:positionH>
              <wp:positionV relativeFrom="page">
                <wp:posOffset>10012229</wp:posOffset>
              </wp:positionV>
              <wp:extent cx="1326515" cy="17907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6515" cy="179070"/>
                      </a:xfrm>
                      <a:prstGeom prst="rect">
                        <a:avLst/>
                      </a:prstGeom>
                    </wps:spPr>
                    <wps:txbx>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079976DA" id="Textbox 160" o:spid="_x0000_s1029" type="#_x0000_t202" style="position:absolute;left:0;text-align:left;margin-left:309.5pt;margin-top:788.35pt;width:104.45pt;height:14.1pt;z-index:-2515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Hv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" filled="f" stroked="f">
              <v:textbox inset="0,0,0,0">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74976" behindDoc="1" locked="0" layoutInCell="1" allowOverlap="1" wp14:anchorId="057355AD" wp14:editId="34AA7FAD">
              <wp:simplePos x="0" y="0"/>
              <wp:positionH relativeFrom="page">
                <wp:posOffset>2583307</wp:posOffset>
              </wp:positionH>
              <wp:positionV relativeFrom="page">
                <wp:posOffset>10030078</wp:posOffset>
              </wp:positionV>
              <wp:extent cx="800735" cy="16129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161290"/>
                      </a:xfrm>
                      <a:prstGeom prst="rect">
                        <a:avLst/>
                      </a:prstGeom>
                    </wps:spPr>
                    <wps:txbx>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wps:txbx>
                    <wps:bodyPr wrap="square" lIns="0" tIns="0" rIns="0" bIns="0" rtlCol="0">
                      <a:noAutofit/>
                    </wps:bodyPr>
                  </wps:wsp>
                </a:graphicData>
              </a:graphic>
            </wp:anchor>
          </w:drawing>
        </mc:Choice>
        <mc:Fallback>
          <w:pict>
            <v:shape w14:anchorId="057355AD" id="Textbox 161" o:spid="_x0000_s1030" type="#_x0000_t202" style="position:absolute;left:0;text-align:left;margin-left:203.4pt;margin-top:789.75pt;width:63.05pt;height:12.7pt;z-index:-25154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RomAEAACE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" filled="f" stroked="f">
              <v:textbox inset="0,0,0,0">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v:textbox>
              <w10:wrap anchorx="page" anchory="page"/>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078FC" w14:textId="2C99D85A" w:rsidR="00F40164" w:rsidRDefault="00210894" w:rsidP="00F8060A">
    <w:pPr>
      <w:pStyle w:val="BodyText"/>
      <w:spacing w:line="14" w:lineRule="auto"/>
      <w:jc w:val="right"/>
      <w:rPr>
        <w:sz w:val="20"/>
      </w:rPr>
    </w:pPr>
    <w:r w:rsidRPr="00210894">
      <w:rPr>
        <w:noProof/>
      </w:rPr>
      <w:drawing>
        <wp:anchor distT="0" distB="0" distL="114300" distR="114300" simplePos="0" relativeHeight="251778048" behindDoc="1" locked="0" layoutInCell="1" allowOverlap="1" wp14:anchorId="3A80225A" wp14:editId="77121720">
          <wp:simplePos x="0" y="0"/>
          <wp:positionH relativeFrom="column">
            <wp:posOffset>-477520</wp:posOffset>
          </wp:positionH>
          <wp:positionV relativeFrom="paragraph">
            <wp:posOffset>35560</wp:posOffset>
          </wp:positionV>
          <wp:extent cx="1741361" cy="601382"/>
          <wp:effectExtent l="0" t="0" r="0" b="8255"/>
          <wp:wrapTight wrapText="bothSides">
            <wp:wrapPolygon edited="0">
              <wp:start x="16306" y="0"/>
              <wp:lineTo x="8508" y="4106"/>
              <wp:lineTo x="2600" y="8895"/>
              <wp:lineTo x="2363" y="17107"/>
              <wp:lineTo x="6381" y="20528"/>
              <wp:lineTo x="12053" y="21212"/>
              <wp:lineTo x="14179" y="21212"/>
              <wp:lineTo x="15361" y="20528"/>
              <wp:lineTo x="18670" y="13685"/>
              <wp:lineTo x="18906" y="11633"/>
              <wp:lineTo x="17724" y="0"/>
              <wp:lineTo x="16306" y="0"/>
            </wp:wrapPolygon>
          </wp:wrapTight>
          <wp:docPr id="195315678" name="Picture 10" descr="A black background with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678" name="Picture 10" descr="A black background with green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361" cy="601382"/>
                  </a:xfrm>
                  <a:prstGeom prst="rect">
                    <a:avLst/>
                  </a:prstGeom>
                  <a:noFill/>
                  <a:ln>
                    <a:noFill/>
                  </a:ln>
                </pic:spPr>
              </pic:pic>
            </a:graphicData>
          </a:graphic>
        </wp:anchor>
      </w:drawing>
    </w:r>
    <w:r w:rsidR="00F8060A">
      <w:rPr>
        <w:noProof/>
        <w:sz w:val="20"/>
      </w:rPr>
      <mc:AlternateContent>
        <mc:Choice Requires="wps">
          <w:drawing>
            <wp:anchor distT="0" distB="0" distL="0" distR="0" simplePos="0" relativeHeight="251739136" behindDoc="1" locked="0" layoutInCell="1" allowOverlap="1" wp14:anchorId="587D0BC1" wp14:editId="7E71B79E">
              <wp:simplePos x="0" y="0"/>
              <wp:positionH relativeFrom="page">
                <wp:posOffset>5828519</wp:posOffset>
              </wp:positionH>
              <wp:positionV relativeFrom="page">
                <wp:posOffset>197611</wp:posOffset>
              </wp:positionV>
              <wp:extent cx="1162050" cy="67818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678180"/>
                      </a:xfrm>
                      <a:prstGeom prst="rect">
                        <a:avLst/>
                      </a:prstGeom>
                    </wps:spPr>
                    <wps:txbx>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wps:txbx>
                    <wps:bodyPr wrap="square" lIns="0" tIns="0" rIns="0" bIns="0" rtlCol="0">
                      <a:noAutofit/>
                    </wps:bodyPr>
                  </wps:wsp>
                </a:graphicData>
              </a:graphic>
              <wp14:sizeRelH relativeFrom="margin">
                <wp14:pctWidth>0</wp14:pctWidth>
              </wp14:sizeRelH>
            </wp:anchor>
          </w:drawing>
        </mc:Choice>
        <mc:Fallback>
          <w:pict>
            <v:shapetype w14:anchorId="587D0BC1" id="_x0000_t202" coordsize="21600,21600" o:spt="202" path="m,l,21600r21600,l21600,xe">
              <v:stroke joinstyle="miter"/>
              <v:path gradientshapeok="t" o:connecttype="rect"/>
            </v:shapetype>
            <v:shape id="Textbox 154" o:spid="_x0000_s1026" type="#_x0000_t202" style="position:absolute;margin-left:458.95pt;margin-top:15.55pt;width:91.5pt;height:53.4pt;z-index:-2515773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" filled="f" stroked="f">
              <v:textbox inset="0,0,0,0">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A171F11"/>
    <w:multiLevelType w:val="multilevel"/>
    <w:tmpl w:val="D2CECAF8"/>
    <w:lvl w:ilvl="0">
      <w:start w:val="1"/>
      <w:numFmt w:val="decimal"/>
      <w:lvlText w:val="%1"/>
      <w:lvlJc w:val="left"/>
      <w:pPr>
        <w:ind w:hanging="720" w:left="108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440" w:left="180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2160" w:left="252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
    <w:nsid w:val="1C2F5B8E"/>
    <w:multiLevelType w:val="hybridMultilevel"/>
    <w:tmpl w:val="3D567BA2"/>
    <w:lvl w:ilvl="0" w:tplc="0409000F">
      <w:start w:val="1"/>
      <w:numFmt w:val="decimal"/>
      <w:lvlText w:val="%1."/>
      <w:lvlJc w:val="left"/>
      <w:pPr>
        <w:ind w:hanging="360" w:left="720"/>
      </w:pPr>
      <w:rPr>
        <w:rFont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A920D3A"/>
    <w:multiLevelType w:val="hybridMultilevel"/>
    <w:tmpl w:val="313AF93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55574130"/>
    <w:multiLevelType w:val="hybridMultilevel"/>
    <w:tmpl w:val="0D6AF85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57632652"/>
    <w:multiLevelType w:val="hybridMultilevel"/>
    <w:tmpl w:val="AA9CC8C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7B1228E9"/>
    <w:multiLevelType w:val="hybridMultilevel"/>
    <w:tmpl w:val="62C208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29199021" w:numId="1">
    <w:abstractNumId w:val="3"/>
  </w:num>
  <w:num w16cid:durableId="1476996222" w:numId="2">
    <w:abstractNumId w:val="1"/>
  </w:num>
  <w:num w16cid:durableId="1308706752" w:numId="3">
    <w:abstractNumId w:val="4"/>
  </w:num>
  <w:num w16cid:durableId="1631134389" w:numId="4">
    <w:abstractNumId w:val="0"/>
  </w:num>
  <w:num w16cid:durableId="562252647" w:numId="5">
    <w:abstractNumId w:val="5"/>
  </w:num>
  <w:num w16cid:durableId="679544273" w:numId="6">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val="0004"/>
  <w:doNotTrackMoves/>
  <w:defaultTabStop w:val="720"/>
  <w:drawingGridHorizontalSpacing w:val="110"/>
  <w:drawingGridVerticalSpacing w:val="360"/>
  <w:displayHorizontalDrawingGridEvery w:val="2"/>
  <w:displayVerticalDrawingGridEvery w:val="0"/>
  <w:characterSpacingControl w:val="doNotCompress"/>
  <w:savePreviewPicture/>
  <w:hdrShapeDefaults>
    <o:shapedefaults spidmax="2050" v:ext="edi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64"/>
    <w:rsid w:val="000215E5"/>
    <w:rsid w:val="000333C4"/>
    <w:rsid w:val="00040C75"/>
    <w:rsid w:val="00050C9D"/>
    <w:rsid w:val="00074232"/>
    <w:rsid w:val="00093098"/>
    <w:rsid w:val="000B77E4"/>
    <w:rsid w:val="000D0FF5"/>
    <w:rsid w:val="000F01DF"/>
    <w:rsid w:val="001334A4"/>
    <w:rsid w:val="00157B7C"/>
    <w:rsid w:val="00170AAE"/>
    <w:rsid w:val="001B0909"/>
    <w:rsid w:val="001E2B20"/>
    <w:rsid w:val="001F216E"/>
    <w:rsid w:val="00210894"/>
    <w:rsid w:val="002828B4"/>
    <w:rsid w:val="002D2BCC"/>
    <w:rsid w:val="003B1E43"/>
    <w:rsid w:val="003F4AA1"/>
    <w:rsid w:val="003F696A"/>
    <w:rsid w:val="004D47E1"/>
    <w:rsid w:val="00512827"/>
    <w:rsid w:val="00513F27"/>
    <w:rsid w:val="005158D4"/>
    <w:rsid w:val="005339E6"/>
    <w:rsid w:val="0054760A"/>
    <w:rsid w:val="00556D66"/>
    <w:rsid w:val="005701BB"/>
    <w:rsid w:val="005C7600"/>
    <w:rsid w:val="005E0683"/>
    <w:rsid w:val="00624E7D"/>
    <w:rsid w:val="00626A60"/>
    <w:rsid w:val="006571A3"/>
    <w:rsid w:val="00694F26"/>
    <w:rsid w:val="006C070D"/>
    <w:rsid w:val="006D72D2"/>
    <w:rsid w:val="006E2835"/>
    <w:rsid w:val="00786A83"/>
    <w:rsid w:val="007F7C65"/>
    <w:rsid w:val="00831235"/>
    <w:rsid w:val="00872D5B"/>
    <w:rsid w:val="008E0C48"/>
    <w:rsid w:val="00923E70"/>
    <w:rsid w:val="009B51AD"/>
    <w:rsid w:val="009D67B4"/>
    <w:rsid w:val="009E3CD4"/>
    <w:rsid w:val="00A20717"/>
    <w:rsid w:val="00AC7345"/>
    <w:rsid w:val="00AF7630"/>
    <w:rsid w:val="00B12C98"/>
    <w:rsid w:val="00B840ED"/>
    <w:rsid w:val="00C247F1"/>
    <w:rsid w:val="00C56EDA"/>
    <w:rsid w:val="00C763E4"/>
    <w:rsid w:val="00C84FE6"/>
    <w:rsid w:val="00CE3CDA"/>
    <w:rsid w:val="00D22F5E"/>
    <w:rsid w:val="00D7444E"/>
    <w:rsid w:val="00DB4E91"/>
    <w:rsid w:val="00E506F9"/>
    <w:rsid w:val="00E774C3"/>
    <w:rsid w:val="00EA154C"/>
    <w:rsid w:val="00EC536C"/>
    <w:rsid w:val="00F24679"/>
    <w:rsid w:val="00F40164"/>
    <w:rsid w:val="00F8060A"/>
    <w:rsid w:val="00FF2D5C"/>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jc w:val="right"/>
      </w:pPr>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5E0683"/>
    <w:pPr>
      <w:bidi/>
      <w:jc w:val="left"/>
    </w:pPr>
    <w:rPr>
      <w:rFonts w:ascii="Noto Naskh Arabic" w:cs="Tahoma" w:eastAsia="Tahoma" w:hAnsi="Noto Naskh Arabic"/>
      <w:sz w:val="32"/>
    </w:rPr>
  </w:style>
  <w:style w:styleId="Heading1" w:type="paragraph">
    <w:name w:val="heading 1"/>
    <w:basedOn w:val="Normal"/>
    <w:link w:val="Heading1Char"/>
    <w:uiPriority w:val="9"/>
    <w:qFormat/>
    <w:pPr>
      <w:spacing w:before="95"/>
      <w:ind w:right="429"/>
      <w:outlineLvl w:val="0"/>
    </w:pPr>
    <w:rPr>
      <w:rFonts w:ascii="Arial" w:cs="Arial" w:eastAsia="Arial" w:hAnsi="Arial"/>
      <w:b/>
      <w:bCs/>
      <w:szCs w:val="32"/>
    </w:rPr>
  </w:style>
  <w:style w:styleId="Heading2" w:type="paragraph">
    <w:name w:val="heading 2"/>
    <w:basedOn w:val="Normal"/>
    <w:link w:val="Heading2Char"/>
    <w:uiPriority w:val="9"/>
    <w:unhideWhenUsed/>
    <w:qFormat/>
    <w:pPr>
      <w:spacing w:before="78"/>
      <w:ind w:left="95" w:right="64"/>
      <w:outlineLvl w:val="1"/>
    </w:pPr>
    <w:rPr>
      <w:rFonts w:ascii="Arial" w:cs="Arial" w:eastAsia="Arial" w:hAnsi="Arial"/>
      <w:b/>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uiPriority w:val="1"/>
    <w:qFormat/>
    <w:rsid w:val="005E0683"/>
    <w:rPr>
      <w:sz w:val="24"/>
      <w:szCs w:val="24"/>
    </w:rPr>
  </w:style>
  <w:style w:styleId="ListParagraph" w:type="paragraph">
    <w:name w:val="List Paragraph"/>
    <w:basedOn w:val="Normal"/>
    <w:uiPriority w:val="1"/>
    <w:qFormat/>
    <w:rsid w:val="002828B4"/>
    <w:pPr>
      <w:ind w:left="2880"/>
    </w:pPr>
    <w:rPr>
      <w:rFonts w:asciiTheme="majorHAnsi" w:hAnsiTheme="majorHAnsi"/>
    </w:rPr>
  </w:style>
  <w:style w:customStyle="1" w:styleId="TableParagraph" w:type="paragraph">
    <w:name w:val="Table Paragraph"/>
    <w:basedOn w:val="Normal"/>
    <w:uiPriority w:val="1"/>
    <w:qFormat/>
    <w:pPr>
      <w:spacing w:before="56"/>
      <w:ind w:right="47"/>
    </w:pPr>
    <w:rPr>
      <w:rFonts w:ascii="Times New Roman" w:cs="Times New Roman" w:eastAsia="Times New Roman" w:hAnsi="Times New Roman"/>
    </w:rPr>
  </w:style>
  <w:style w:styleId="Header" w:type="paragraph">
    <w:name w:val="header"/>
    <w:basedOn w:val="Normal"/>
    <w:link w:val="HeaderChar"/>
    <w:uiPriority w:val="99"/>
    <w:unhideWhenUsed/>
    <w:rsid w:val="006D72D2"/>
    <w:pPr>
      <w:tabs>
        <w:tab w:pos="4680" w:val="center"/>
        <w:tab w:pos="9360" w:val="right"/>
      </w:tabs>
    </w:pPr>
  </w:style>
  <w:style w:customStyle="1" w:styleId="HeaderChar" w:type="character">
    <w:name w:val="Header Char"/>
    <w:basedOn w:val="DefaultParagraphFont"/>
    <w:link w:val="Header"/>
    <w:uiPriority w:val="99"/>
    <w:rsid w:val="006D72D2"/>
    <w:rPr>
      <w:rFonts w:ascii="Tahoma" w:cs="Tahoma" w:eastAsia="Tahoma" w:hAnsi="Tahoma"/>
    </w:rPr>
  </w:style>
  <w:style w:styleId="Footer" w:type="paragraph">
    <w:name w:val="footer"/>
    <w:basedOn w:val="Normal"/>
    <w:link w:val="FooterChar"/>
    <w:uiPriority w:val="99"/>
    <w:unhideWhenUsed/>
    <w:rsid w:val="006D72D2"/>
    <w:pPr>
      <w:tabs>
        <w:tab w:pos="4680" w:val="center"/>
        <w:tab w:pos="9360" w:val="right"/>
      </w:tabs>
    </w:pPr>
  </w:style>
  <w:style w:customStyle="1" w:styleId="FooterChar" w:type="character">
    <w:name w:val="Footer Char"/>
    <w:basedOn w:val="DefaultParagraphFont"/>
    <w:link w:val="Footer"/>
    <w:uiPriority w:val="99"/>
    <w:rsid w:val="006D72D2"/>
    <w:rPr>
      <w:rFonts w:ascii="Tahoma" w:cs="Tahoma" w:eastAsia="Tahoma" w:hAnsi="Tahoma"/>
    </w:rPr>
  </w:style>
  <w:style w:customStyle="1" w:styleId="Heading1Char" w:type="character">
    <w:name w:val="Heading 1 Char"/>
    <w:basedOn w:val="DefaultParagraphFont"/>
    <w:link w:val="Heading1"/>
    <w:uiPriority w:val="9"/>
    <w:rsid w:val="00556D66"/>
    <w:rPr>
      <w:rFonts w:ascii="Arial" w:cs="Arial" w:eastAsia="Arial" w:hAnsi="Arial"/>
      <w:b/>
      <w:bCs/>
      <w:sz w:val="32"/>
      <w:szCs w:val="32"/>
    </w:rPr>
  </w:style>
  <w:style w:customStyle="1" w:styleId="Heading2Char" w:type="character">
    <w:name w:val="Heading 2 Char"/>
    <w:basedOn w:val="DefaultParagraphFont"/>
    <w:link w:val="Heading2"/>
    <w:uiPriority w:val="9"/>
    <w:rsid w:val="00556D66"/>
    <w:rPr>
      <w:rFonts w:ascii="Arial" w:cs="Arial" w:eastAsia="Arial" w:hAnsi="Arial"/>
      <w:b/>
      <w:bCs/>
      <w:sz w:val="24"/>
      <w:szCs w:val="24"/>
    </w:rPr>
  </w:style>
  <w:style w:customStyle="1" w:styleId="nemroStyle" w:type="table">
    <w:name w:val="nemro_Style"/>
    <w:basedOn w:val="TableNormal"/>
    <w:uiPriority w:val="99"/>
    <w:rsid w:val="00E506F9"/>
    <w:pPr>
      <w:jc w:val="left"/>
    </w:pPr>
    <w:tblPr>
      <w:tblBorders>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basedOn w:val="TableProfessional"/>
    <w:uiPriority w:val="99"/>
    <w:rsid w:val="005C7600"/>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Professional" w:type="table">
    <w:name w:val="Table Professional"/>
    <w:basedOn w:val="TableNormal"/>
    <w:uiPriority w:val="99"/>
    <w:semiHidden/>
    <w:unhideWhenUsed/>
    <w:rsid w:val="005C7600"/>
    <w:pPr>
      <w:bidi/>
      <w:jc w:val="left"/>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Grid" w:type="table">
    <w:name w:val="Table Grid"/>
    <w:basedOn w:val="TableList2"/>
    <w:uiPriority w:val="39"/>
    <w:rsid w:val="00A207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A20717"/>
    <w:pPr>
      <w:bidi/>
      <w:jc w:val="left"/>
    </w:p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094274">
      <w:bodyDiv w:val="1"/>
      <w:marLeft w:val="0"/>
      <w:marRight w:val="0"/>
      <w:marTop w:val="0"/>
      <w:marBottom w:val="0"/>
      <w:divBdr>
        <w:top w:val="none" w:sz="0" w:space="0" w:color="auto"/>
        <w:left w:val="none" w:sz="0" w:space="0" w:color="auto"/>
        <w:bottom w:val="none" w:sz="0" w:space="0" w:color="auto"/>
        <w:right w:val="none" w:sz="0" w:space="0" w:color="auto"/>
      </w:divBdr>
    </w:div>
    <w:div w:id="167988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2025-04-22T17:11:14Z</dcterms:created>
  <dcterms:modified xsi:type="dcterms:W3CDTF">2025-04-22T17:11:14Z</dcterms:modified>
</cp:coreProperties>
</file>

<file path=docProps/custom.xml><?xml version="1.0" encoding="utf-8"?>
<Properties xmlns="http://schemas.openxmlformats.org/officeDocument/2006/custom-properties" xmlns:vt="http://schemas.openxmlformats.org/officeDocument/2006/docPropsVTypes"/>
</file>