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B3A6B"/>
          <w:sz w:val="40"/>
          <w:szCs w:val="40"/>
        </w:rPr>
        <w:t xml:space="preserve">CLIENT SERVICE AGREEMENT</w:t>
      </w:r>
    </w:p>
    <w:p>
      <w:pPr>
        <w:spacing w:after="400" w:before="60"/>
        <w:jc w:val="center"/>
      </w:pPr>
      <w:r>
        <w:rPr>
          <w:rFonts w:ascii="Arial" w:cs="Arial" w:eastAsia="Arial" w:hAnsi="Arial"/>
          <w:color w:val="555555"/>
          <w:sz w:val="24"/>
          <w:szCs w:val="24"/>
        </w:rPr>
        <w:t xml:space="preserve">Novalant Staffing Ltd — Virtual Assistant Division</w:t>
      </w:r>
    </w:p>
    <w:p>
      <w:pPr>
        <w:pBdr>
          <w:bottom w:val="single" w:color="1B3A6B"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This Agreement is between:</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Novalant Staffing Ltd, a company registered in England and Wales ("Novalant", "we", "us")</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And:</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COMPANY NAME], registered at [CLIENT ADDRESS] ("Client", "you")</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r>
        <w:tc>
          <w:tcPr>
            <w:tcW w:type="dxa" w:w="2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Agreement Reference:</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NSL-VA-[REF NUMBER]</w:t>
            </w:r>
          </w:p>
        </w:tc>
      </w:tr>
    </w:tbl>
    <w:p>
      <w:pPr>
        <w:spacing w:after="60" w:before="60"/>
      </w:pPr>
      <w:r>
        <w:t xml:space="preserve"/>
      </w:r>
    </w:p>
    <w:p>
      <w:pPr>
        <w:pBdr>
          <w:bottom w:val="single" w:color="1B3A6B" w:sz="4" w:space="1"/>
        </w:pBdr>
        <w:spacing w:after="160" w:before="160"/>
      </w:pPr>
    </w:p>
    <w:p>
      <w:pPr>
        <w:spacing w:after="200" w:before="400"/>
      </w:pPr>
      <w:r>
        <w:rPr>
          <w:rFonts w:ascii="Arial" w:cs="Arial" w:eastAsia="Arial" w:hAnsi="Arial"/>
          <w:b/>
          <w:bCs/>
          <w:color w:val="1B3A6B"/>
          <w:sz w:val="32"/>
          <w:szCs w:val="32"/>
        </w:rPr>
        <w:t xml:space="preserve">1. Definitions</w:t>
      </w:r>
    </w:p>
    <w:p>
      <w:pPr>
        <w:spacing w:after="120" w:before="80"/>
      </w:pPr>
      <w:r>
        <w:rPr>
          <w:rFonts w:ascii="Arial" w:cs="Arial" w:eastAsia="Arial" w:hAnsi="Arial"/>
          <w:sz w:val="22"/>
          <w:szCs w:val="22"/>
        </w:rPr>
        <w:t xml:space="preserve">"Services" means the virtual assistant support services provided by Novalant to the Client as described in Schedule 1.</w:t>
      </w:r>
    </w:p>
    <w:p>
      <w:pPr>
        <w:spacing w:after="120" w:before="80"/>
      </w:pPr>
      <w:r>
        <w:rPr>
          <w:rFonts w:ascii="Arial" w:cs="Arial" w:eastAsia="Arial" w:hAnsi="Arial"/>
          <w:sz w:val="22"/>
          <w:szCs w:val="22"/>
        </w:rPr>
        <w:t xml:space="preserve">"Virtual Assistant" or "VA" means the self-employed independent contractor engaged by Novalant to deliver the Services.</w:t>
      </w:r>
    </w:p>
    <w:p>
      <w:pPr>
        <w:spacing w:after="120" w:before="80"/>
      </w:pPr>
      <w:r>
        <w:rPr>
          <w:rFonts w:ascii="Arial" w:cs="Arial" w:eastAsia="Arial" w:hAnsi="Arial"/>
          <w:sz w:val="22"/>
          <w:szCs w:val="22"/>
        </w:rPr>
        <w:t xml:space="preserve">"Service Fee" means the monthly retainer or hourly fee payable by the Client as set out in Schedule 2.</w:t>
      </w:r>
    </w:p>
    <w:p>
      <w:pPr>
        <w:spacing w:after="120" w:before="80"/>
      </w:pPr>
      <w:r>
        <w:rPr>
          <w:rFonts w:ascii="Arial" w:cs="Arial" w:eastAsia="Arial" w:hAnsi="Arial"/>
          <w:sz w:val="22"/>
          <w:szCs w:val="22"/>
        </w:rPr>
        <w:t xml:space="preserve">"Confidential Information" means all information disclosed by either party that is marked confidential or would reasonably be understood as confidential.</w:t>
      </w:r>
    </w:p>
    <w:p>
      <w:pPr>
        <w:spacing w:after="120" w:before="80"/>
      </w:pPr>
      <w:r>
        <w:rPr>
          <w:rFonts w:ascii="Arial" w:cs="Arial" w:eastAsia="Arial" w:hAnsi="Arial"/>
          <w:sz w:val="22"/>
          <w:szCs w:val="22"/>
        </w:rPr>
        <w:t xml:space="preserve">"Working Day" means any day other than Saturday, Sunday, or a public holiday in England and Wales.</w:t>
      </w:r>
    </w:p>
    <w:p>
      <w:pPr>
        <w:spacing w:after="60" w:before="60"/>
      </w:pPr>
      <w:r>
        <w:t xml:space="preserve"/>
      </w:r>
    </w:p>
    <w:p>
      <w:pPr>
        <w:spacing w:after="200" w:before="400"/>
      </w:pPr>
      <w:r>
        <w:rPr>
          <w:rFonts w:ascii="Arial" w:cs="Arial" w:eastAsia="Arial" w:hAnsi="Arial"/>
          <w:b/>
          <w:bCs/>
          <w:color w:val="1B3A6B"/>
          <w:sz w:val="32"/>
          <w:szCs w:val="32"/>
        </w:rPr>
        <w:t xml:space="preserve">2. Appointment &amp; Services</w:t>
      </w:r>
    </w:p>
    <w:p>
      <w:pPr>
        <w:pStyle w:val="ListParagraph"/>
        <w:numPr>
          <w:ilvl w:val="0"/>
          <w:numId w:val="2"/>
        </w:numPr>
        <w:spacing w:after="80" w:before="60"/>
      </w:pPr>
      <w:r>
        <w:rPr>
          <w:rFonts w:ascii="Arial" w:cs="Arial" w:eastAsia="Arial" w:hAnsi="Arial"/>
          <w:sz w:val="22"/>
          <w:szCs w:val="22"/>
        </w:rPr>
        <w:t xml:space="preserve">Novalant agrees to provide the Services to the Client on the terms set out in this Agreement.</w:t>
      </w:r>
    </w:p>
    <w:p>
      <w:pPr>
        <w:pStyle w:val="ListParagraph"/>
        <w:numPr>
          <w:ilvl w:val="0"/>
          <w:numId w:val="2"/>
        </w:numPr>
        <w:spacing w:after="80" w:before="60"/>
      </w:pPr>
      <w:r>
        <w:rPr>
          <w:rFonts w:ascii="Arial" w:cs="Arial" w:eastAsia="Arial" w:hAnsi="Arial"/>
          <w:sz w:val="22"/>
          <w:szCs w:val="22"/>
        </w:rPr>
        <w:t xml:space="preserve">Novalant will assign a VA to the Client within five (5) Working Days of the Agreement being signed, subject to VA availability.</w:t>
      </w:r>
    </w:p>
    <w:p>
      <w:pPr>
        <w:pStyle w:val="ListParagraph"/>
        <w:numPr>
          <w:ilvl w:val="0"/>
          <w:numId w:val="2"/>
        </w:numPr>
        <w:spacing w:after="80" w:before="60"/>
      </w:pPr>
      <w:r>
        <w:rPr>
          <w:rFonts w:ascii="Arial" w:cs="Arial" w:eastAsia="Arial" w:hAnsi="Arial"/>
          <w:sz w:val="22"/>
          <w:szCs w:val="22"/>
        </w:rPr>
        <w:t xml:space="preserve">Novalant reserves the right to substitute one VA for another, provided the replacement VA has equivalent skills and the Client is given reasonable notice.</w:t>
      </w:r>
    </w:p>
    <w:p>
      <w:pPr>
        <w:pStyle w:val="ListParagraph"/>
        <w:numPr>
          <w:ilvl w:val="0"/>
          <w:numId w:val="2"/>
        </w:numPr>
        <w:spacing w:after="80" w:before="60"/>
      </w:pPr>
      <w:r>
        <w:rPr>
          <w:rFonts w:ascii="Arial" w:cs="Arial" w:eastAsia="Arial" w:hAnsi="Arial"/>
          <w:sz w:val="22"/>
          <w:szCs w:val="22"/>
        </w:rPr>
        <w:t xml:space="preserve">The Client acknowledges that VAs are independent contractors of Novalant, not employees of the Client. The Client shall not attempt to directly hire, solicit, or engage any VA introduced by Novalant for a period of twelve (12) months following the end of this Agreement.</w:t>
      </w:r>
    </w:p>
    <w:p>
      <w:pPr>
        <w:pStyle w:val="ListParagraph"/>
        <w:numPr>
          <w:ilvl w:val="0"/>
          <w:numId w:val="2"/>
        </w:numPr>
        <w:spacing w:after="80" w:before="60"/>
      </w:pPr>
      <w:r>
        <w:rPr>
          <w:rFonts w:ascii="Arial" w:cs="Arial" w:eastAsia="Arial" w:hAnsi="Arial"/>
          <w:sz w:val="22"/>
          <w:szCs w:val="22"/>
        </w:rPr>
        <w:t xml:space="preserve">If the Client breaches clause 2.4, Novalant shall be entitled to a placement fee equivalent to six (6) months of the Client's then-current monthly Service Fee.</w:t>
      </w:r>
    </w:p>
    <w:p>
      <w:pPr>
        <w:spacing w:after="60" w:before="60"/>
      </w:pPr>
      <w:r>
        <w:t xml:space="preserve"/>
      </w:r>
    </w:p>
    <w:p>
      <w:pPr>
        <w:spacing w:after="200" w:before="400"/>
      </w:pPr>
      <w:r>
        <w:rPr>
          <w:rFonts w:ascii="Arial" w:cs="Arial" w:eastAsia="Arial" w:hAnsi="Arial"/>
          <w:b/>
          <w:bCs/>
          <w:color w:val="1B3A6B"/>
          <w:sz w:val="32"/>
          <w:szCs w:val="32"/>
        </w:rPr>
        <w:t xml:space="preserve">3. Service Tiers &amp; Hours</w:t>
      </w:r>
    </w:p>
    <w:p>
      <w:pPr>
        <w:pStyle w:val="ListParagraph"/>
        <w:numPr>
          <w:ilvl w:val="0"/>
          <w:numId w:val="2"/>
        </w:numPr>
        <w:spacing w:after="80" w:before="60"/>
      </w:pPr>
      <w:r>
        <w:rPr>
          <w:rFonts w:ascii="Arial" w:cs="Arial" w:eastAsia="Arial" w:hAnsi="Arial"/>
          <w:sz w:val="22"/>
          <w:szCs w:val="22"/>
        </w:rPr>
        <w:t xml:space="preserve">The Client has selected the service tier set out in Schedule 2.</w:t>
      </w:r>
    </w:p>
    <w:p>
      <w:pPr>
        <w:pStyle w:val="ListParagraph"/>
        <w:numPr>
          <w:ilvl w:val="0"/>
          <w:numId w:val="2"/>
        </w:numPr>
        <w:spacing w:after="80" w:before="60"/>
      </w:pPr>
      <w:r>
        <w:rPr>
          <w:rFonts w:ascii="Arial" w:cs="Arial" w:eastAsia="Arial" w:hAnsi="Arial"/>
          <w:sz w:val="22"/>
          <w:szCs w:val="22"/>
        </w:rPr>
        <w:t xml:space="preserve">Hours included in the monthly retainer do not roll over to subsequent months unless otherwise agreed in writing.</w:t>
      </w:r>
    </w:p>
    <w:p>
      <w:pPr>
        <w:pStyle w:val="ListParagraph"/>
        <w:numPr>
          <w:ilvl w:val="0"/>
          <w:numId w:val="2"/>
        </w:numPr>
        <w:spacing w:after="80" w:before="60"/>
      </w:pPr>
      <w:r>
        <w:rPr>
          <w:rFonts w:ascii="Arial" w:cs="Arial" w:eastAsia="Arial" w:hAnsi="Arial"/>
          <w:sz w:val="22"/>
          <w:szCs w:val="22"/>
        </w:rPr>
        <w:t xml:space="preserve">If the Client requires hours in excess of the contracted monthly allowance, additional hours will be charged at the overage rate set out in Schedule 2.</w:t>
      </w:r>
    </w:p>
    <w:p>
      <w:pPr>
        <w:pStyle w:val="ListParagraph"/>
        <w:numPr>
          <w:ilvl w:val="0"/>
          <w:numId w:val="2"/>
        </w:numPr>
        <w:spacing w:after="80" w:before="60"/>
      </w:pPr>
      <w:r>
        <w:rPr>
          <w:rFonts w:ascii="Arial" w:cs="Arial" w:eastAsia="Arial" w:hAnsi="Arial"/>
          <w:sz w:val="22"/>
          <w:szCs w:val="22"/>
        </w:rPr>
        <w:t xml:space="preserve">Novalant will notify the Client when they have consumed 80% of their monthly hours allowance.</w:t>
      </w:r>
    </w:p>
    <w:p>
      <w:pPr>
        <w:spacing w:after="60" w:before="60"/>
      </w:pPr>
      <w:r>
        <w:t xml:space="preserve"/>
      </w:r>
    </w:p>
    <w:p>
      <w:pPr>
        <w:spacing w:after="200" w:before="400"/>
      </w:pPr>
      <w:r>
        <w:rPr>
          <w:rFonts w:ascii="Arial" w:cs="Arial" w:eastAsia="Arial" w:hAnsi="Arial"/>
          <w:b/>
          <w:bCs/>
          <w:color w:val="1B3A6B"/>
          <w:sz w:val="32"/>
          <w:szCs w:val="32"/>
        </w:rPr>
        <w:t xml:space="preserve">4. Fees &amp; Payment</w:t>
      </w:r>
    </w:p>
    <w:p>
      <w:pPr>
        <w:pStyle w:val="ListParagraph"/>
        <w:numPr>
          <w:ilvl w:val="0"/>
          <w:numId w:val="2"/>
        </w:numPr>
        <w:spacing w:after="80" w:before="60"/>
      </w:pPr>
      <w:r>
        <w:rPr>
          <w:rFonts w:ascii="Arial" w:cs="Arial" w:eastAsia="Arial" w:hAnsi="Arial"/>
          <w:sz w:val="22"/>
          <w:szCs w:val="22"/>
        </w:rPr>
        <w:t xml:space="preserve">The Client shall pay the Service Fee monthly in advance on the date specified in Schedule 2.</w:t>
      </w:r>
    </w:p>
    <w:p>
      <w:pPr>
        <w:pStyle w:val="ListParagraph"/>
        <w:numPr>
          <w:ilvl w:val="0"/>
          <w:numId w:val="2"/>
        </w:numPr>
        <w:spacing w:after="80" w:before="60"/>
      </w:pPr>
      <w:r>
        <w:rPr>
          <w:rFonts w:ascii="Arial" w:cs="Arial" w:eastAsia="Arial" w:hAnsi="Arial"/>
          <w:sz w:val="22"/>
          <w:szCs w:val="22"/>
        </w:rPr>
        <w:t xml:space="preserve">Novalant will issue an invoice on or before the first Working Day of each month.</w:t>
      </w:r>
    </w:p>
    <w:p>
      <w:pPr>
        <w:pStyle w:val="ListParagraph"/>
        <w:numPr>
          <w:ilvl w:val="0"/>
          <w:numId w:val="2"/>
        </w:numPr>
        <w:spacing w:after="80" w:before="60"/>
      </w:pPr>
      <w:r>
        <w:rPr>
          <w:rFonts w:ascii="Arial" w:cs="Arial" w:eastAsia="Arial" w:hAnsi="Arial"/>
          <w:sz w:val="22"/>
          <w:szCs w:val="22"/>
        </w:rPr>
        <w:t xml:space="preserve">Payment is due within fourteen (14) days of the invoice date.</w:t>
      </w:r>
    </w:p>
    <w:p>
      <w:pPr>
        <w:pStyle w:val="ListParagraph"/>
        <w:numPr>
          <w:ilvl w:val="0"/>
          <w:numId w:val="2"/>
        </w:numPr>
        <w:spacing w:after="80" w:before="60"/>
      </w:pPr>
      <w:r>
        <w:rPr>
          <w:rFonts w:ascii="Arial" w:cs="Arial" w:eastAsia="Arial" w:hAnsi="Arial"/>
          <w:sz w:val="22"/>
          <w:szCs w:val="22"/>
        </w:rPr>
        <w:t xml:space="preserve">Late payments shall accrue interest at 8% above the Bank of England base rate, pursuant to the Late Payment of Commercial Debts (Interest) Act 1998.</w:t>
      </w:r>
    </w:p>
    <w:p>
      <w:pPr>
        <w:pStyle w:val="ListParagraph"/>
        <w:numPr>
          <w:ilvl w:val="0"/>
          <w:numId w:val="2"/>
        </w:numPr>
        <w:spacing w:after="80" w:before="60"/>
      </w:pPr>
      <w:r>
        <w:rPr>
          <w:rFonts w:ascii="Arial" w:cs="Arial" w:eastAsia="Arial" w:hAnsi="Arial"/>
          <w:sz w:val="22"/>
          <w:szCs w:val="22"/>
        </w:rPr>
        <w:t xml:space="preserve">All fees are exclusive of VAT. Where applicable, VAT will be added at the prevailing rate.</w:t>
      </w:r>
    </w:p>
    <w:p>
      <w:pPr>
        <w:pStyle w:val="ListParagraph"/>
        <w:numPr>
          <w:ilvl w:val="0"/>
          <w:numId w:val="2"/>
        </w:numPr>
        <w:spacing w:after="80" w:before="60"/>
      </w:pPr>
      <w:r>
        <w:rPr>
          <w:rFonts w:ascii="Arial" w:cs="Arial" w:eastAsia="Arial" w:hAnsi="Arial"/>
          <w:sz w:val="22"/>
          <w:szCs w:val="22"/>
        </w:rPr>
        <w:t xml:space="preserve">Novalant reserves the right to suspend Services if any invoice remains unpaid for more than twenty-one (21) days.</w:t>
      </w:r>
    </w:p>
    <w:p>
      <w:pPr>
        <w:spacing w:after="60" w:before="60"/>
      </w:pPr>
      <w:r>
        <w:t xml:space="preserve"/>
      </w:r>
    </w:p>
    <w:p>
      <w:pPr>
        <w:spacing w:after="200" w:before="400"/>
      </w:pPr>
      <w:r>
        <w:rPr>
          <w:rFonts w:ascii="Arial" w:cs="Arial" w:eastAsia="Arial" w:hAnsi="Arial"/>
          <w:b/>
          <w:bCs/>
          <w:color w:val="1B3A6B"/>
          <w:sz w:val="32"/>
          <w:szCs w:val="32"/>
        </w:rPr>
        <w:t xml:space="preserve">5. Client Obligations</w:t>
      </w:r>
    </w:p>
    <w:p>
      <w:pPr>
        <w:pStyle w:val="ListParagraph"/>
        <w:numPr>
          <w:ilvl w:val="0"/>
          <w:numId w:val="2"/>
        </w:numPr>
        <w:spacing w:after="80" w:before="60"/>
      </w:pPr>
      <w:r>
        <w:rPr>
          <w:rFonts w:ascii="Arial" w:cs="Arial" w:eastAsia="Arial" w:hAnsi="Arial"/>
          <w:sz w:val="22"/>
          <w:szCs w:val="22"/>
        </w:rPr>
        <w:t xml:space="preserve">The Client shall provide the VA with clear instructions, necessary access to systems, and timely responses to enable delivery of the Services.</w:t>
      </w:r>
    </w:p>
    <w:p>
      <w:pPr>
        <w:pStyle w:val="ListParagraph"/>
        <w:numPr>
          <w:ilvl w:val="0"/>
          <w:numId w:val="2"/>
        </w:numPr>
        <w:spacing w:after="80" w:before="60"/>
      </w:pPr>
      <w:r>
        <w:rPr>
          <w:rFonts w:ascii="Arial" w:cs="Arial" w:eastAsia="Arial" w:hAnsi="Arial"/>
          <w:sz w:val="22"/>
          <w:szCs w:val="22"/>
        </w:rPr>
        <w:t xml:space="preserve">The Client shall ensure that any systems, data, or materials provided to the VA comply with applicable data protection laws, including the UK GDPR.</w:t>
      </w:r>
    </w:p>
    <w:p>
      <w:pPr>
        <w:pStyle w:val="ListParagraph"/>
        <w:numPr>
          <w:ilvl w:val="0"/>
          <w:numId w:val="2"/>
        </w:numPr>
        <w:spacing w:after="80" w:before="60"/>
      </w:pPr>
      <w:r>
        <w:rPr>
          <w:rFonts w:ascii="Arial" w:cs="Arial" w:eastAsia="Arial" w:hAnsi="Arial"/>
          <w:sz w:val="22"/>
          <w:szCs w:val="22"/>
        </w:rPr>
        <w:t xml:space="preserve">The Client shall not direct the VA in a manner inconsistent with the agreed scope of Services without the prior written consent of Novalant.</w:t>
      </w:r>
    </w:p>
    <w:p>
      <w:pPr>
        <w:pStyle w:val="ListParagraph"/>
        <w:numPr>
          <w:ilvl w:val="0"/>
          <w:numId w:val="2"/>
        </w:numPr>
        <w:spacing w:after="80" w:before="60"/>
      </w:pPr>
      <w:r>
        <w:rPr>
          <w:rFonts w:ascii="Arial" w:cs="Arial" w:eastAsia="Arial" w:hAnsi="Arial"/>
          <w:sz w:val="22"/>
          <w:szCs w:val="22"/>
        </w:rPr>
        <w:t xml:space="preserve">The Client shall not require the VA to carry out work that is illegal, unethical, or in breach of any applicable law or regulation.</w:t>
      </w:r>
    </w:p>
    <w:p>
      <w:pPr>
        <w:spacing w:after="60" w:before="60"/>
      </w:pPr>
      <w:r>
        <w:t xml:space="preserve"/>
      </w:r>
    </w:p>
    <w:p>
      <w:pPr>
        <w:spacing w:after="200" w:before="400"/>
      </w:pPr>
      <w:r>
        <w:rPr>
          <w:rFonts w:ascii="Arial" w:cs="Arial" w:eastAsia="Arial" w:hAnsi="Arial"/>
          <w:b/>
          <w:bCs/>
          <w:color w:val="1B3A6B"/>
          <w:sz w:val="32"/>
          <w:szCs w:val="32"/>
        </w:rPr>
        <w:t xml:space="preserve">6. Quality &amp; Performance</w:t>
      </w:r>
    </w:p>
    <w:p>
      <w:pPr>
        <w:pStyle w:val="ListParagraph"/>
        <w:numPr>
          <w:ilvl w:val="0"/>
          <w:numId w:val="2"/>
        </w:numPr>
        <w:spacing w:after="80" w:before="60"/>
      </w:pPr>
      <w:r>
        <w:rPr>
          <w:rFonts w:ascii="Arial" w:cs="Arial" w:eastAsia="Arial" w:hAnsi="Arial"/>
          <w:sz w:val="22"/>
          <w:szCs w:val="22"/>
        </w:rPr>
        <w:t xml:space="preserve">Novalant operates a thirty (30) day replacement guarantee. If the Client is not satisfied with a VA's performance within the first thirty (30) days, Novalant will provide a replacement VA at no additional charge, subject to the Client providing specific written feedback.</w:t>
      </w:r>
    </w:p>
    <w:p>
      <w:pPr>
        <w:pStyle w:val="ListParagraph"/>
        <w:numPr>
          <w:ilvl w:val="0"/>
          <w:numId w:val="2"/>
        </w:numPr>
        <w:spacing w:after="80" w:before="60"/>
      </w:pPr>
      <w:r>
        <w:rPr>
          <w:rFonts w:ascii="Arial" w:cs="Arial" w:eastAsia="Arial" w:hAnsi="Arial"/>
          <w:sz w:val="22"/>
          <w:szCs w:val="22"/>
        </w:rPr>
        <w:t xml:space="preserve">After the initial thirty (30) day period, Novalant will address performance concerns raised in writing and use reasonable endeavours to resolve them within ten (10) Working Days.</w:t>
      </w:r>
    </w:p>
    <w:p>
      <w:pPr>
        <w:pStyle w:val="ListParagraph"/>
        <w:numPr>
          <w:ilvl w:val="0"/>
          <w:numId w:val="2"/>
        </w:numPr>
        <w:spacing w:after="80" w:before="60"/>
      </w:pPr>
      <w:r>
        <w:rPr>
          <w:rFonts w:ascii="Arial" w:cs="Arial" w:eastAsia="Arial" w:hAnsi="Arial"/>
          <w:sz w:val="22"/>
          <w:szCs w:val="22"/>
        </w:rPr>
        <w:t xml:space="preserve">Novalant will conduct monthly quality check-ins with the Client and quarterly formal reviews.</w:t>
      </w:r>
    </w:p>
    <w:p>
      <w:pPr>
        <w:spacing w:after="60" w:before="60"/>
      </w:pPr>
      <w:r>
        <w:t xml:space="preserve"/>
      </w:r>
    </w:p>
    <w:p>
      <w:pPr>
        <w:spacing w:after="200" w:before="400"/>
      </w:pPr>
      <w:r>
        <w:rPr>
          <w:rFonts w:ascii="Arial" w:cs="Arial" w:eastAsia="Arial" w:hAnsi="Arial"/>
          <w:b/>
          <w:bCs/>
          <w:color w:val="1B3A6B"/>
          <w:sz w:val="32"/>
          <w:szCs w:val="32"/>
        </w:rPr>
        <w:t xml:space="preserve">7. Data Protection</w:t>
      </w:r>
    </w:p>
    <w:p>
      <w:pPr>
        <w:pStyle w:val="ListParagraph"/>
        <w:numPr>
          <w:ilvl w:val="0"/>
          <w:numId w:val="2"/>
        </w:numPr>
        <w:spacing w:after="80" w:before="60"/>
      </w:pPr>
      <w:r>
        <w:rPr>
          <w:rFonts w:ascii="Arial" w:cs="Arial" w:eastAsia="Arial" w:hAnsi="Arial"/>
          <w:sz w:val="22"/>
          <w:szCs w:val="22"/>
        </w:rPr>
        <w:t xml:space="preserve">Each party shall comply with its obligations under the UK General Data Protection Regulation (UK GDPR) and the Data Protection Act 2018.</w:t>
      </w:r>
    </w:p>
    <w:p>
      <w:pPr>
        <w:pStyle w:val="ListParagraph"/>
        <w:numPr>
          <w:ilvl w:val="0"/>
          <w:numId w:val="2"/>
        </w:numPr>
        <w:spacing w:after="80" w:before="60"/>
      </w:pPr>
      <w:r>
        <w:rPr>
          <w:rFonts w:ascii="Arial" w:cs="Arial" w:eastAsia="Arial" w:hAnsi="Arial"/>
          <w:sz w:val="22"/>
          <w:szCs w:val="22"/>
        </w:rPr>
        <w:t xml:space="preserve">To the extent that Novalant processes personal data on behalf of the Client, the Data Processing Agreement (Appendix A) shall apply and is incorporated into this Agreement by reference.</w:t>
      </w:r>
    </w:p>
    <w:p>
      <w:pPr>
        <w:pStyle w:val="ListParagraph"/>
        <w:numPr>
          <w:ilvl w:val="0"/>
          <w:numId w:val="2"/>
        </w:numPr>
        <w:spacing w:after="80" w:before="60"/>
      </w:pPr>
      <w:r>
        <w:rPr>
          <w:rFonts w:ascii="Arial" w:cs="Arial" w:eastAsia="Arial" w:hAnsi="Arial"/>
          <w:sz w:val="22"/>
          <w:szCs w:val="22"/>
        </w:rPr>
        <w:t xml:space="preserve">The Client shall ensure that all personal data shared with Novalant and the VA has a lawful basis for processing.</w:t>
      </w:r>
    </w:p>
    <w:p>
      <w:pPr>
        <w:pStyle w:val="ListParagraph"/>
        <w:numPr>
          <w:ilvl w:val="0"/>
          <w:numId w:val="2"/>
        </w:numPr>
        <w:spacing w:after="80" w:before="60"/>
      </w:pPr>
      <w:r>
        <w:rPr>
          <w:rFonts w:ascii="Arial" w:cs="Arial" w:eastAsia="Arial" w:hAnsi="Arial"/>
          <w:sz w:val="22"/>
          <w:szCs w:val="22"/>
        </w:rPr>
        <w:t xml:space="preserve">Novalant shall ensure all VAs are bound by appropriate confidentiality and data protection obligations before being given access to Client data or systems.</w:t>
      </w:r>
    </w:p>
    <w:p>
      <w:pPr>
        <w:spacing w:after="60" w:before="60"/>
      </w:pPr>
      <w:r>
        <w:t xml:space="preserve"/>
      </w:r>
    </w:p>
    <w:p>
      <w:pPr>
        <w:spacing w:after="200" w:before="400"/>
      </w:pPr>
      <w:r>
        <w:rPr>
          <w:rFonts w:ascii="Arial" w:cs="Arial" w:eastAsia="Arial" w:hAnsi="Arial"/>
          <w:b/>
          <w:bCs/>
          <w:color w:val="1B3A6B"/>
          <w:sz w:val="32"/>
          <w:szCs w:val="32"/>
        </w:rPr>
        <w:t xml:space="preserve">8. Confidentiality</w:t>
      </w:r>
    </w:p>
    <w:p>
      <w:pPr>
        <w:pStyle w:val="ListParagraph"/>
        <w:numPr>
          <w:ilvl w:val="0"/>
          <w:numId w:val="2"/>
        </w:numPr>
        <w:spacing w:after="80" w:before="60"/>
      </w:pPr>
      <w:r>
        <w:rPr>
          <w:rFonts w:ascii="Arial" w:cs="Arial" w:eastAsia="Arial" w:hAnsi="Arial"/>
          <w:sz w:val="22"/>
          <w:szCs w:val="22"/>
        </w:rPr>
        <w:t xml:space="preserve">Each party agrees to keep the other party's Confidential Information confidential and not to disclose it to any third party without prior written consent.</w:t>
      </w:r>
    </w:p>
    <w:p>
      <w:pPr>
        <w:pStyle w:val="ListParagraph"/>
        <w:numPr>
          <w:ilvl w:val="0"/>
          <w:numId w:val="2"/>
        </w:numPr>
        <w:spacing w:after="80" w:before="60"/>
      </w:pPr>
      <w:r>
        <w:rPr>
          <w:rFonts w:ascii="Arial" w:cs="Arial" w:eastAsia="Arial" w:hAnsi="Arial"/>
          <w:sz w:val="22"/>
          <w:szCs w:val="22"/>
        </w:rPr>
        <w:t xml:space="preserve">This obligation does not apply to information that: (a) is or becomes publicly available other than through breach of this clause; (b) the receiving party already possessed; (c) is required to be disclosed by law or regulation.</w:t>
      </w:r>
    </w:p>
    <w:p>
      <w:pPr>
        <w:pStyle w:val="ListParagraph"/>
        <w:numPr>
          <w:ilvl w:val="0"/>
          <w:numId w:val="2"/>
        </w:numPr>
        <w:spacing w:after="80" w:before="60"/>
      </w:pPr>
      <w:r>
        <w:rPr>
          <w:rFonts w:ascii="Arial" w:cs="Arial" w:eastAsia="Arial" w:hAnsi="Arial"/>
          <w:sz w:val="22"/>
          <w:szCs w:val="22"/>
        </w:rPr>
        <w:t xml:space="preserve">This clause shall survive termination of this Agreement for a period of three (3) years.</w:t>
      </w:r>
    </w:p>
    <w:p>
      <w:pPr>
        <w:spacing w:after="60" w:before="60"/>
      </w:pPr>
      <w:r>
        <w:t xml:space="preserve"/>
      </w:r>
    </w:p>
    <w:p>
      <w:pPr>
        <w:spacing w:after="200" w:before="400"/>
      </w:pPr>
      <w:r>
        <w:rPr>
          <w:rFonts w:ascii="Arial" w:cs="Arial" w:eastAsia="Arial" w:hAnsi="Arial"/>
          <w:b/>
          <w:bCs/>
          <w:color w:val="1B3A6B"/>
          <w:sz w:val="32"/>
          <w:szCs w:val="32"/>
        </w:rPr>
        <w:t xml:space="preserve">9. Intellectual Property</w:t>
      </w:r>
    </w:p>
    <w:p>
      <w:pPr>
        <w:pStyle w:val="ListParagraph"/>
        <w:numPr>
          <w:ilvl w:val="0"/>
          <w:numId w:val="2"/>
        </w:numPr>
        <w:spacing w:after="80" w:before="60"/>
      </w:pPr>
      <w:r>
        <w:rPr>
          <w:rFonts w:ascii="Arial" w:cs="Arial" w:eastAsia="Arial" w:hAnsi="Arial"/>
          <w:sz w:val="22"/>
          <w:szCs w:val="22"/>
        </w:rPr>
        <w:t xml:space="preserve">All work product, documents, materials, and deliverables created by the VA in the course of providing the Services shall be the property of the Client upon full payment of the relevant Service Fees.</w:t>
      </w:r>
    </w:p>
    <w:p>
      <w:pPr>
        <w:pStyle w:val="ListParagraph"/>
        <w:numPr>
          <w:ilvl w:val="0"/>
          <w:numId w:val="2"/>
        </w:numPr>
        <w:spacing w:after="80" w:before="60"/>
      </w:pPr>
      <w:r>
        <w:rPr>
          <w:rFonts w:ascii="Arial" w:cs="Arial" w:eastAsia="Arial" w:hAnsi="Arial"/>
          <w:sz w:val="22"/>
          <w:szCs w:val="22"/>
        </w:rPr>
        <w:t xml:space="preserve">The Client grants Novalant and the VA a limited licence to use Client materials solely for the purpose of delivering the Services.</w:t>
      </w:r>
    </w:p>
    <w:p>
      <w:pPr>
        <w:spacing w:after="60" w:before="60"/>
      </w:pPr>
      <w:r>
        <w:t xml:space="preserve"/>
      </w:r>
    </w:p>
    <w:p>
      <w:pPr>
        <w:spacing w:after="200" w:before="400"/>
      </w:pPr>
      <w:r>
        <w:rPr>
          <w:rFonts w:ascii="Arial" w:cs="Arial" w:eastAsia="Arial" w:hAnsi="Arial"/>
          <w:b/>
          <w:bCs/>
          <w:color w:val="1B3A6B"/>
          <w:sz w:val="32"/>
          <w:szCs w:val="32"/>
        </w:rPr>
        <w:t xml:space="preserve">10. Term &amp; Termination</w:t>
      </w:r>
    </w:p>
    <w:p>
      <w:pPr>
        <w:pStyle w:val="ListParagraph"/>
        <w:numPr>
          <w:ilvl w:val="0"/>
          <w:numId w:val="2"/>
        </w:numPr>
        <w:spacing w:after="80" w:before="60"/>
      </w:pPr>
      <w:r>
        <w:rPr>
          <w:rFonts w:ascii="Arial" w:cs="Arial" w:eastAsia="Arial" w:hAnsi="Arial"/>
          <w:sz w:val="22"/>
          <w:szCs w:val="22"/>
        </w:rPr>
        <w:t xml:space="preserve">This Agreement commences on the Start Date in Schedule 2 and continues for a minimum initial period of three (3) months (the "Minimum Term").</w:t>
      </w:r>
    </w:p>
    <w:p>
      <w:pPr>
        <w:pStyle w:val="ListParagraph"/>
        <w:numPr>
          <w:ilvl w:val="0"/>
          <w:numId w:val="2"/>
        </w:numPr>
        <w:spacing w:after="80" w:before="60"/>
      </w:pPr>
      <w:r>
        <w:rPr>
          <w:rFonts w:ascii="Arial" w:cs="Arial" w:eastAsia="Arial" w:hAnsi="Arial"/>
          <w:sz w:val="22"/>
          <w:szCs w:val="22"/>
        </w:rPr>
        <w:t xml:space="preserve">Following the Minimum Term, either party may terminate this Agreement by providing thirty (30) days' written notice.</w:t>
      </w:r>
    </w:p>
    <w:p>
      <w:pPr>
        <w:pStyle w:val="ListParagraph"/>
        <w:numPr>
          <w:ilvl w:val="0"/>
          <w:numId w:val="2"/>
        </w:numPr>
        <w:spacing w:after="80" w:before="60"/>
      </w:pPr>
      <w:r>
        <w:rPr>
          <w:rFonts w:ascii="Arial" w:cs="Arial" w:eastAsia="Arial" w:hAnsi="Arial"/>
          <w:sz w:val="22"/>
          <w:szCs w:val="22"/>
        </w:rPr>
        <w:t xml:space="preserve">Novalant may terminate this Agreement immediately if: (a) the Client fails to pay any sum due and does not remedy the default within seven (7) days of written notice; (b) the Client commits a material breach of this Agreement; (c) the Client becomes insolvent or enters administration.</w:t>
      </w:r>
    </w:p>
    <w:p>
      <w:pPr>
        <w:pStyle w:val="ListParagraph"/>
        <w:numPr>
          <w:ilvl w:val="0"/>
          <w:numId w:val="2"/>
        </w:numPr>
        <w:spacing w:after="80" w:before="60"/>
      </w:pPr>
      <w:r>
        <w:rPr>
          <w:rFonts w:ascii="Arial" w:cs="Arial" w:eastAsia="Arial" w:hAnsi="Arial"/>
          <w:sz w:val="22"/>
          <w:szCs w:val="22"/>
        </w:rPr>
        <w:t xml:space="preserve">Upon termination, the Client shall immediately cease using any systems access provided for the purpose of the Services.</w:t>
      </w:r>
    </w:p>
    <w:p>
      <w:pPr>
        <w:spacing w:after="60" w:before="60"/>
      </w:pPr>
      <w:r>
        <w:t xml:space="preserve"/>
      </w:r>
    </w:p>
    <w:p>
      <w:pPr>
        <w:spacing w:after="200" w:before="400"/>
      </w:pPr>
      <w:r>
        <w:rPr>
          <w:rFonts w:ascii="Arial" w:cs="Arial" w:eastAsia="Arial" w:hAnsi="Arial"/>
          <w:b/>
          <w:bCs/>
          <w:color w:val="1B3A6B"/>
          <w:sz w:val="32"/>
          <w:szCs w:val="32"/>
        </w:rPr>
        <w:t xml:space="preserve">11. Limitation of Liability</w:t>
      </w:r>
    </w:p>
    <w:p>
      <w:pPr>
        <w:pStyle w:val="ListParagraph"/>
        <w:numPr>
          <w:ilvl w:val="0"/>
          <w:numId w:val="2"/>
        </w:numPr>
        <w:spacing w:after="80" w:before="60"/>
      </w:pPr>
      <w:r>
        <w:rPr>
          <w:rFonts w:ascii="Arial" w:cs="Arial" w:eastAsia="Arial" w:hAnsi="Arial"/>
          <w:sz w:val="22"/>
          <w:szCs w:val="22"/>
        </w:rPr>
        <w:t xml:space="preserve">Nothing in this Agreement limits or excludes liability for death or personal injury caused by negligence, fraud, or fraudulent misrepresentation.</w:t>
      </w:r>
    </w:p>
    <w:p>
      <w:pPr>
        <w:pStyle w:val="ListParagraph"/>
        <w:numPr>
          <w:ilvl w:val="0"/>
          <w:numId w:val="2"/>
        </w:numPr>
        <w:spacing w:after="80" w:before="60"/>
      </w:pPr>
      <w:r>
        <w:rPr>
          <w:rFonts w:ascii="Arial" w:cs="Arial" w:eastAsia="Arial" w:hAnsi="Arial"/>
          <w:sz w:val="22"/>
          <w:szCs w:val="22"/>
        </w:rPr>
        <w:t xml:space="preserve">Subject to clause 11.1, Novalant's total liability to the Client under this Agreement shall not exceed the total Service Fees paid by the Client in the three (3) months immediately preceding the event giving rise to the claim.</w:t>
      </w:r>
    </w:p>
    <w:p>
      <w:pPr>
        <w:pStyle w:val="ListParagraph"/>
        <w:numPr>
          <w:ilvl w:val="0"/>
          <w:numId w:val="2"/>
        </w:numPr>
        <w:spacing w:after="80" w:before="60"/>
      </w:pPr>
      <w:r>
        <w:rPr>
          <w:rFonts w:ascii="Arial" w:cs="Arial" w:eastAsia="Arial" w:hAnsi="Arial"/>
          <w:sz w:val="22"/>
          <w:szCs w:val="22"/>
        </w:rPr>
        <w:t xml:space="preserve">Novalant shall not be liable for any indirect, consequential, special, or punitive losses, loss of profits, loss of data, or loss of business opportunity.</w:t>
      </w:r>
    </w:p>
    <w:p>
      <w:pPr>
        <w:spacing w:after="60" w:before="60"/>
      </w:pPr>
      <w:r>
        <w:t xml:space="preserve"/>
      </w:r>
    </w:p>
    <w:p>
      <w:pPr>
        <w:spacing w:after="200" w:before="400"/>
      </w:pPr>
      <w:r>
        <w:rPr>
          <w:rFonts w:ascii="Arial" w:cs="Arial" w:eastAsia="Arial" w:hAnsi="Arial"/>
          <w:b/>
          <w:bCs/>
          <w:color w:val="1B3A6B"/>
          <w:sz w:val="32"/>
          <w:szCs w:val="32"/>
        </w:rPr>
        <w:t xml:space="preserve">12. General</w:t>
      </w:r>
    </w:p>
    <w:p>
      <w:pPr>
        <w:pStyle w:val="ListParagraph"/>
        <w:numPr>
          <w:ilvl w:val="0"/>
          <w:numId w:val="2"/>
        </w:numPr>
        <w:spacing w:after="80" w:before="60"/>
      </w:pPr>
      <w:r>
        <w:rPr>
          <w:rFonts w:ascii="Arial" w:cs="Arial" w:eastAsia="Arial" w:hAnsi="Arial"/>
          <w:sz w:val="22"/>
          <w:szCs w:val="22"/>
        </w:rPr>
        <w:t xml:space="preserve">This Agreement constitutes the entire agreement between the parties and supersedes all prior discussions, representations, and agreements.</w:t>
      </w:r>
    </w:p>
    <w:p>
      <w:pPr>
        <w:pStyle w:val="ListParagraph"/>
        <w:numPr>
          <w:ilvl w:val="0"/>
          <w:numId w:val="2"/>
        </w:numPr>
        <w:spacing w:after="80" w:before="60"/>
      </w:pPr>
      <w:r>
        <w:rPr>
          <w:rFonts w:ascii="Arial" w:cs="Arial" w:eastAsia="Arial" w:hAnsi="Arial"/>
          <w:sz w:val="22"/>
          <w:szCs w:val="22"/>
        </w:rPr>
        <w:t xml:space="preserve">This Agreement shall be governed by the laws of England and Wales. The parties submit to the exclusive jurisdiction of the English courts.</w:t>
      </w:r>
    </w:p>
    <w:p>
      <w:pPr>
        <w:pStyle w:val="ListParagraph"/>
        <w:numPr>
          <w:ilvl w:val="0"/>
          <w:numId w:val="2"/>
        </w:numPr>
        <w:spacing w:after="80" w:before="60"/>
      </w:pPr>
      <w:r>
        <w:rPr>
          <w:rFonts w:ascii="Arial" w:cs="Arial" w:eastAsia="Arial" w:hAnsi="Arial"/>
          <w:sz w:val="22"/>
          <w:szCs w:val="22"/>
        </w:rPr>
        <w:t xml:space="preserve">If any provision of this Agreement is found invalid or unenforceable, the remaining provisions shall continue in full force.</w:t>
      </w:r>
    </w:p>
    <w:p>
      <w:pPr>
        <w:pStyle w:val="ListParagraph"/>
        <w:numPr>
          <w:ilvl w:val="0"/>
          <w:numId w:val="2"/>
        </w:numPr>
        <w:spacing w:after="80" w:before="60"/>
      </w:pPr>
      <w:r>
        <w:rPr>
          <w:rFonts w:ascii="Arial" w:cs="Arial" w:eastAsia="Arial" w:hAnsi="Arial"/>
          <w:sz w:val="22"/>
          <w:szCs w:val="22"/>
        </w:rPr>
        <w:t xml:space="preserve">Any variation to this Agreement must be agreed in writing and signed by authorised representatives of both parties.</w:t>
      </w:r>
    </w:p>
    <w:p>
      <w:pPr>
        <w:spacing w:after="60" w:before="60"/>
      </w:pPr>
      <w:r>
        <w:t xml:space="preserve"/>
      </w:r>
    </w:p>
    <w:p>
      <w:pPr>
        <w:pBdr>
          <w:bottom w:val="single" w:color="1B3A6B" w:sz="4" w:space="1"/>
        </w:pBdr>
        <w:spacing w:after="160" w:before="160"/>
      </w:pPr>
    </w:p>
    <w:p>
      <w:pPr>
        <w:spacing w:after="160" w:before="280"/>
      </w:pPr>
      <w:r>
        <w:rPr>
          <w:rFonts w:ascii="Arial" w:cs="Arial" w:eastAsia="Arial" w:hAnsi="Arial"/>
          <w:b/>
          <w:bCs/>
          <w:color w:val="1B3A6B"/>
          <w:sz w:val="26"/>
          <w:szCs w:val="26"/>
        </w:rPr>
        <w:t xml:space="preserve">Schedule 1 — Scope of Services</w:t>
      </w:r>
    </w:p>
    <w:p>
      <w:pPr>
        <w:spacing w:after="120" w:before="80"/>
      </w:pPr>
      <w:r>
        <w:rPr>
          <w:rFonts w:ascii="Arial" w:cs="Arial" w:eastAsia="Arial" w:hAnsi="Arial"/>
          <w:sz w:val="22"/>
          <w:szCs w:val="22"/>
        </w:rPr>
        <w:t xml:space="preserve">The VA will provide the following services to the Client:</w:t>
      </w:r>
    </w:p>
    <w:p>
      <w:pPr>
        <w:spacing w:after="120" w:before="80"/>
      </w:pPr>
      <w:r>
        <w:rPr>
          <w:rFonts w:ascii="Arial" w:cs="Arial" w:eastAsia="Arial" w:hAnsi="Arial"/>
          <w:sz w:val="22"/>
          <w:szCs w:val="22"/>
        </w:rPr>
        <w:t xml:space="preserve">[DESCRIBE SPECIFIC SERVICES — e.g. inbox management, social media scheduling, data entry, CRM updates, customer service, etc.]</w:t>
      </w:r>
    </w:p>
    <w:p>
      <w:pPr>
        <w:spacing w:after="120" w:before="80"/>
      </w:pPr>
      <w:r>
        <w:rPr>
          <w:rFonts w:ascii="Arial" w:cs="Arial" w:eastAsia="Arial" w:hAnsi="Arial"/>
          <w:sz w:val="22"/>
          <w:szCs w:val="22"/>
        </w:rPr>
        <w:t xml:space="preserve">Services will be delivered remotely. The VA will use tools and systems as agreed with the Client.</w:t>
      </w:r>
    </w:p>
    <w:p>
      <w:pPr>
        <w:spacing w:after="120" w:before="80"/>
      </w:pPr>
      <w:r>
        <w:rPr>
          <w:rFonts w:ascii="Arial" w:cs="Arial" w:eastAsia="Arial" w:hAnsi="Arial"/>
          <w:sz w:val="22"/>
          <w:szCs w:val="22"/>
        </w:rPr>
        <w:t xml:space="preserve">Working hours: [AGREED HOURS, e.g. Monday–Friday, 9am–5pm GMT / Manila time]</w:t>
      </w:r>
    </w:p>
    <w:p>
      <w:pPr>
        <w:spacing w:after="60" w:before="60"/>
      </w:pPr>
      <w:r>
        <w:t xml:space="preserve"/>
      </w:r>
    </w:p>
    <w:p>
      <w:pPr>
        <w:pBdr>
          <w:bottom w:val="single" w:color="1B3A6B" w:sz="4" w:space="1"/>
        </w:pBdr>
        <w:spacing w:after="160" w:before="160"/>
      </w:pPr>
    </w:p>
    <w:p>
      <w:pPr>
        <w:spacing w:after="160" w:before="280"/>
      </w:pPr>
      <w:r>
        <w:rPr>
          <w:rFonts w:ascii="Arial" w:cs="Arial" w:eastAsia="Arial" w:hAnsi="Arial"/>
          <w:b/>
          <w:bCs/>
          <w:color w:val="1B3A6B"/>
          <w:sz w:val="26"/>
          <w:szCs w:val="26"/>
        </w:rPr>
        <w:t xml:space="preserve">Schedule 2 — Commercial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Service Tier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 / Growth / Professional / Enterprise / Ad Hoc]</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Monthly Hours Included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40 hours per month]</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Monthly Service Fee (excl. VAT)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Overage Rate (per hour, excl. VAT)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Payment Due Date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1st of each month]</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Agreement Start Date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Minimum Term</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months from Start Date</w:t>
            </w:r>
          </w:p>
        </w:tc>
      </w:tr>
      <w:tr>
        <w:tc>
          <w:tcPr>
            <w:tcW w:type="dxa" w:w="3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Notice Period (post-Minimum Term)</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days written notice</w:t>
            </w:r>
          </w:p>
        </w:tc>
      </w:tr>
    </w:tbl>
    <w:p>
      <w:pPr>
        <w:spacing w:after="60" w:before="60"/>
      </w:pPr>
      <w:r>
        <w:t xml:space="preserve"/>
      </w:r>
    </w:p>
    <w:p>
      <w:pPr>
        <w:spacing w:after="60" w:before="60"/>
      </w:pPr>
      <w:r>
        <w:t xml:space="preserve"/>
      </w:r>
    </w:p>
    <w:p>
      <w:pPr>
        <w:pBdr>
          <w:bottom w:val="single" w:color="1B3A6B" w:sz="4" w:space="1"/>
        </w:pBdr>
        <w:spacing w:after="160" w:before="160"/>
      </w:pPr>
    </w:p>
    <w:p>
      <w:pPr>
        <w:spacing w:after="160" w:before="280"/>
      </w:pPr>
      <w:r>
        <w:rPr>
          <w:rFonts w:ascii="Arial" w:cs="Arial" w:eastAsia="Arial" w:hAnsi="Arial"/>
          <w:b/>
          <w:bCs/>
          <w:color w:val="1B3A6B"/>
          <w:sz w:val="26"/>
          <w:szCs w:val="26"/>
        </w:rPr>
        <w:t xml:space="preserve">Signatures</w:t>
      </w:r>
    </w:p>
    <w:p>
      <w:pPr>
        <w:spacing w:after="120" w:before="80"/>
      </w:pPr>
      <w:r>
        <w:rPr>
          <w:rFonts w:ascii="Arial" w:cs="Arial" w:eastAsia="Arial" w:hAnsi="Arial"/>
          <w:sz w:val="22"/>
          <w:szCs w:val="22"/>
        </w:rPr>
        <w:t xml:space="preserve">By signing below, both parties agree to be bound by the terms of this Agreement.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80"/>
              <w:left w:type="dxa" w:w="0"/>
              <w:bottom w:type="dxa" w:w="80"/>
              <w:right w:type="dxa" w:w="200"/>
            </w:tcMar>
          </w:tcPr>
          <w:p>
            <w:r>
              <w:rPr>
                <w:rFonts w:ascii="Arial" w:cs="Arial" w:eastAsia="Arial" w:hAnsi="Arial"/>
                <w:b/>
                <w:bCs/>
                <w:sz w:val="20"/>
                <w:szCs w:val="20"/>
              </w:rPr>
              <w:t xml:space="preserve">For and on behalf of Novalant Staffing Ltd:</w:t>
            </w:r>
          </w:p>
          <w:p>
            <w:pPr>
              <w:spacing w:after="60" w:before="60"/>
            </w:pPr>
            <w:r>
              <w:t xml:space="preserve"/>
            </w:r>
          </w:p>
          <w:p>
            <w:pPr>
              <w:pBdr>
                <w:bottom w:val="single" w:color="000000" w:sz="2"/>
              </w:pBdr>
            </w:pPr>
            <w:r>
              <w:rPr>
                <w:rFonts w:ascii="Arial" w:cs="Arial" w:eastAsia="Arial" w:hAnsi="Arial"/>
                <w:sz w:val="20"/>
                <w:szCs w:val="20"/>
              </w:rPr>
              <w:t xml:space="preserve">                                                  </w:t>
            </w:r>
          </w:p>
          <w:p>
            <w:r>
              <w:rPr>
                <w:rFonts w:ascii="Arial" w:cs="Arial" w:eastAsia="Arial" w:hAnsi="Arial"/>
                <w:color w:val="888888"/>
                <w:sz w:val="18"/>
                <w:szCs w:val="18"/>
              </w:rPr>
              <w:t xml:space="preserve">Signature</w:t>
            </w:r>
          </w:p>
          <w:p>
            <w:pPr>
              <w:spacing w:after="60" w:before="60"/>
            </w:pPr>
            <w:r>
              <w:t xml:space="preserve"/>
            </w:r>
          </w:p>
          <w:p>
            <w:r>
              <w:rPr>
                <w:rFonts w:ascii="Arial" w:cs="Arial" w:eastAsia="Arial" w:hAnsi="Arial"/>
                <w:sz w:val="20"/>
                <w:szCs w:val="20"/>
              </w:rPr>
              <w:t xml:space="preserve">Name: [Name]</w:t>
            </w:r>
          </w:p>
          <w:p>
            <w:r>
              <w:rPr>
                <w:rFonts w:ascii="Arial" w:cs="Arial" w:eastAsia="Arial" w:hAnsi="Arial"/>
                <w:sz w:val="20"/>
                <w:szCs w:val="20"/>
              </w:rPr>
              <w:t xml:space="preserve">Title: [Title]</w:t>
            </w:r>
          </w:p>
          <w:p>
            <w:r>
              <w:rPr>
                <w:rFonts w:ascii="Arial" w:cs="Arial" w:eastAsia="Arial" w:hAnsi="Arial"/>
                <w:sz w:val="20"/>
                <w:szCs w:val="20"/>
              </w:rPr>
              <w:t xml:space="preserve">Date: [Date]</w:t>
            </w:r>
          </w:p>
        </w:tc>
        <w:tc>
          <w:tcPr>
            <w:tcW w:type="dxa" w:w="4613"/>
            <w:tcBorders>
              <w:top w:val="none"/>
              <w:left w:val="none"/>
              <w:bottom w:val="none"/>
              <w:right w:val="none"/>
            </w:tcBorders>
            <w:tcMar>
              <w:top w:type="dxa" w:w="80"/>
              <w:left w:type="dxa" w:w="200"/>
              <w:bottom w:type="dxa" w:w="80"/>
              <w:right w:type="dxa" w:w="0"/>
            </w:tcMar>
          </w:tcPr>
          <w:p>
            <w:r>
              <w:t xml:space="preserve"/>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80"/>
              <w:left w:type="dxa" w:w="0"/>
              <w:bottom w:type="dxa" w:w="80"/>
              <w:right w:type="dxa" w:w="200"/>
            </w:tcMar>
          </w:tcPr>
          <w:p>
            <w:r>
              <w:rPr>
                <w:rFonts w:ascii="Arial" w:cs="Arial" w:eastAsia="Arial" w:hAnsi="Arial"/>
                <w:b/>
                <w:bCs/>
                <w:sz w:val="20"/>
                <w:szCs w:val="20"/>
              </w:rPr>
              <w:t xml:space="preserve">For and on behalf of Client:</w:t>
            </w:r>
          </w:p>
          <w:p>
            <w:pPr>
              <w:spacing w:after="60" w:before="60"/>
            </w:pPr>
            <w:r>
              <w:t xml:space="preserve"/>
            </w:r>
          </w:p>
          <w:p>
            <w:pPr>
              <w:pBdr>
                <w:bottom w:val="single" w:color="000000" w:sz="2"/>
              </w:pBdr>
            </w:pPr>
            <w:r>
              <w:rPr>
                <w:rFonts w:ascii="Arial" w:cs="Arial" w:eastAsia="Arial" w:hAnsi="Arial"/>
                <w:sz w:val="20"/>
                <w:szCs w:val="20"/>
              </w:rPr>
              <w:t xml:space="preserve">                                                  </w:t>
            </w:r>
          </w:p>
          <w:p>
            <w:r>
              <w:rPr>
                <w:rFonts w:ascii="Arial" w:cs="Arial" w:eastAsia="Arial" w:hAnsi="Arial"/>
                <w:color w:val="888888"/>
                <w:sz w:val="18"/>
                <w:szCs w:val="18"/>
              </w:rPr>
              <w:t xml:space="preserve">Signature</w:t>
            </w:r>
          </w:p>
          <w:p>
            <w:pPr>
              <w:spacing w:after="60" w:before="60"/>
            </w:pPr>
            <w:r>
              <w:t xml:space="preserve"/>
            </w:r>
          </w:p>
          <w:p>
            <w:r>
              <w:rPr>
                <w:rFonts w:ascii="Arial" w:cs="Arial" w:eastAsia="Arial" w:hAnsi="Arial"/>
                <w:sz w:val="20"/>
                <w:szCs w:val="20"/>
              </w:rPr>
              <w:t xml:space="preserve">Name: [Client Authorised Signatory Name]</w:t>
            </w:r>
          </w:p>
          <w:p>
            <w:r>
              <w:rPr>
                <w:rFonts w:ascii="Arial" w:cs="Arial" w:eastAsia="Arial" w:hAnsi="Arial"/>
                <w:sz w:val="20"/>
                <w:szCs w:val="20"/>
              </w:rPr>
              <w:t xml:space="preserve">Title: [Title]</w:t>
            </w:r>
          </w:p>
          <w:p>
            <w:r>
              <w:rPr>
                <w:rFonts w:ascii="Arial" w:cs="Arial" w:eastAsia="Arial" w:hAnsi="Arial"/>
                <w:sz w:val="20"/>
                <w:szCs w:val="20"/>
              </w:rPr>
              <w:t xml:space="preserve">Date: [Date]</w:t>
            </w:r>
          </w:p>
        </w:tc>
        <w:tc>
          <w:tcPr>
            <w:tcW w:type="dxa" w:w="4613"/>
            <w:tcBorders>
              <w:top w:val="none"/>
              <w:left w:val="none"/>
              <w:bottom w:val="none"/>
              <w:right w:val="none"/>
            </w:tcBorders>
            <w:tcMar>
              <w:top w:type="dxa" w:w="80"/>
              <w:left w:type="dxa" w:w="200"/>
              <w:bottom w:type="dxa" w:w="80"/>
              <w:right w:type="dxa" w:w="0"/>
            </w:tcMar>
          </w:tcPr>
          <w:p>
            <w: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2" w:space="1"/>
      </w:pBdr>
    </w:pPr>
    <w:r>
      <w:rPr>
        <w:rFonts w:ascii="Arial" w:cs="Arial" w:eastAsia="Arial" w:hAnsi="Arial"/>
        <w:color w:val="888888"/>
        <w:sz w:val="16"/>
        <w:szCs w:val="16"/>
      </w:rPr>
      <w:t xml:space="preserve">Novalant Staffing Ltd — VA Division | This document is subject to review by a qualified solicitor before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pPr>
    <w:r>
      <w:rPr>
        <w:rFonts w:ascii="Arial" w:cs="Arial" w:eastAsia="Arial" w:hAnsi="Arial"/>
        <w:b/>
        <w:bCs/>
        <w:color w:val="1B3A6B"/>
        <w:sz w:val="18"/>
        <w:szCs w:val="18"/>
      </w:rPr>
      <w:t xml:space="preserve">NOVALANT STAFFING LTD</w:t>
    </w:r>
    <w:r>
      <w:rPr>
        <w:rFonts w:ascii="Arial" w:cs="Arial" w:eastAsia="Arial" w:hAnsi="Arial"/>
        <w:color w:val="888888"/>
        <w:sz w:val="18"/>
        <w:szCs w:val="18"/>
      </w:rPr>
      <w:t xml:space="preserve">	CLIENT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2026-04-03T15:27:24.624Z</dcterms:created>
  <dcterms:modified xsi:type="dcterms:W3CDTF">2026-04-03T15:27:24.625Z</dcterms:modified>
</cp:coreProperties>
</file>

<file path=docProps/custom.xml><?xml version="1.0" encoding="utf-8"?>
<Properties xmlns="http://schemas.openxmlformats.org/officeDocument/2006/custom-properties" xmlns:vt="http://schemas.openxmlformats.org/officeDocument/2006/docPropsVTypes"/>
</file>