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B3A6B"/>
          <w:sz w:val="40"/>
          <w:szCs w:val="40"/>
        </w:rPr>
        <w:t xml:space="preserve">DATA PROCESSING AGREEMENT</w:t>
      </w:r>
    </w:p>
    <w:p>
      <w:pPr>
        <w:spacing w:after="60" w:before="60"/>
        <w:jc w:val="center"/>
      </w:pPr>
      <w:r>
        <w:rPr>
          <w:rFonts w:ascii="Arial" w:cs="Arial" w:eastAsia="Arial" w:hAnsi="Arial"/>
          <w:color w:val="555555"/>
          <w:sz w:val="22"/>
          <w:szCs w:val="22"/>
        </w:rPr>
        <w:t xml:space="preserve">UK GDPR Compliant | Data Protection Act 2018</w:t>
      </w:r>
    </w:p>
    <w:p>
      <w:pPr>
        <w:spacing w:after="400" w:before="60"/>
        <w:jc w:val="center"/>
      </w:pPr>
      <w:r>
        <w:rPr>
          <w:rFonts w:ascii="Arial" w:cs="Arial" w:eastAsia="Arial" w:hAnsi="Arial"/>
          <w:color w:val="888888"/>
          <w:sz w:val="18"/>
          <w:szCs w:val="18"/>
        </w:rPr>
        <w:t xml:space="preserve">Incorporated by reference into the Client Service Agreement and VA Contractor Agreement</w:t>
      </w:r>
    </w:p>
    <w:p>
      <w:pPr>
        <w:pBdr>
          <w:bottom w:val="single" w:color="1B3A6B" w:sz="4" w:space="1"/>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Data Controller: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COMPANY NAME] ("Controller")</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Data Processor: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Novalant Staffing Ltd ("Processor")</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Sub-Processor: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 CONTRACTOR NAME] engaged by Novalant as applicable</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Related Agreement: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Service Agreement Ref: NSL-VA-[REF]</w:t>
            </w:r>
          </w:p>
        </w:tc>
      </w:tr>
    </w:tbl>
    <w:p>
      <w:pPr>
        <w:spacing w:after="60" w:before="60"/>
      </w:pPr>
      <w:r>
        <w:t xml:space="preserve"/>
      </w:r>
    </w:p>
    <w:p>
      <w:pPr>
        <w:pBdr>
          <w:bottom w:val="single" w:color="1B3A6B" w:sz="4" w:space="1"/>
        </w:pBdr>
        <w:spacing w:after="160" w:before="160"/>
      </w:pPr>
    </w:p>
    <w:p>
      <w:pPr>
        <w:spacing w:after="200" w:before="400"/>
      </w:pPr>
      <w:r>
        <w:rPr>
          <w:rFonts w:ascii="Arial" w:cs="Arial" w:eastAsia="Arial" w:hAnsi="Arial"/>
          <w:b/>
          <w:bCs/>
          <w:color w:val="1B3A6B"/>
          <w:sz w:val="32"/>
          <w:szCs w:val="32"/>
        </w:rPr>
        <w:t xml:space="preserve">1. Background &amp; Scope</w:t>
      </w:r>
    </w:p>
    <w:p>
      <w:pPr>
        <w:spacing w:after="120" w:before="80"/>
      </w:pPr>
      <w:r>
        <w:rPr>
          <w:rFonts w:ascii="Arial" w:cs="Arial" w:eastAsia="Arial" w:hAnsi="Arial"/>
          <w:sz w:val="22"/>
          <w:szCs w:val="22"/>
        </w:rPr>
        <w:t xml:space="preserve">This Data Processing Agreement ("DPA") sets out the terms on which Novalant Staffing Ltd, as Data Processor, processes personal data on behalf of the Controller in connection with the provision of virtual assistant services.</w:t>
      </w:r>
    </w:p>
    <w:p>
      <w:pPr>
        <w:spacing w:after="120" w:before="80"/>
      </w:pPr>
      <w:r>
        <w:rPr>
          <w:rFonts w:ascii="Arial" w:cs="Arial" w:eastAsia="Arial" w:hAnsi="Arial"/>
          <w:sz w:val="22"/>
          <w:szCs w:val="22"/>
        </w:rPr>
        <w:t xml:space="preserve">This DPA is subject to and incorporates the terms of the Client Service Agreement between the parties. In the event of conflict, the terms of this DPA shall prevail in relation to data protection matters.</w:t>
      </w:r>
    </w:p>
    <w:p>
      <w:pPr>
        <w:spacing w:after="60" w:before="60"/>
      </w:pPr>
      <w:r>
        <w:t xml:space="preserve"/>
      </w:r>
    </w:p>
    <w:p>
      <w:pPr>
        <w:spacing w:after="200" w:before="400"/>
      </w:pPr>
      <w:r>
        <w:rPr>
          <w:rFonts w:ascii="Arial" w:cs="Arial" w:eastAsia="Arial" w:hAnsi="Arial"/>
          <w:b/>
          <w:bCs/>
          <w:color w:val="1B3A6B"/>
          <w:sz w:val="32"/>
          <w:szCs w:val="32"/>
        </w:rPr>
        <w:t xml:space="preserve">2. Definitions</w:t>
      </w:r>
    </w:p>
    <w:p>
      <w:pPr>
        <w:spacing w:after="120" w:before="80"/>
      </w:pPr>
      <w:r>
        <w:rPr>
          <w:rFonts w:ascii="Arial" w:cs="Arial" w:eastAsia="Arial" w:hAnsi="Arial"/>
          <w:sz w:val="22"/>
          <w:szCs w:val="22"/>
        </w:rPr>
        <w:t xml:space="preserve">Terms defined in the UK GDPR and the Data Protection Act 2018 have the same meaning when used in this DPA. "Personal Data", "Processing", "Data Subject", "Data Breach", and "Supervisory Authority" shall have the meanings given to them in the UK GDPR.</w:t>
      </w:r>
    </w:p>
    <w:p>
      <w:pPr>
        <w:spacing w:after="60" w:before="60"/>
      </w:pPr>
      <w:r>
        <w:t xml:space="preserve"/>
      </w:r>
    </w:p>
    <w:p>
      <w:pPr>
        <w:spacing w:after="200" w:before="400"/>
      </w:pPr>
      <w:r>
        <w:rPr>
          <w:rFonts w:ascii="Arial" w:cs="Arial" w:eastAsia="Arial" w:hAnsi="Arial"/>
          <w:b/>
          <w:bCs/>
          <w:color w:val="1B3A6B"/>
          <w:sz w:val="32"/>
          <w:szCs w:val="32"/>
        </w:rPr>
        <w:t xml:space="preserve">3. Details of 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Subject matter of processing: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Customer enquiries, bookkeeping records, email communications]</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Duration of processing: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the duration of the Client Service Agreement and 30 days thereafter</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Nature of processing: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storage, organisation, retrieval, use, disclosure, deletion as required to deliver the Services</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Purpose of processing: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enable the VA to perform the services described in the Client Service Agreement</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Types of personal data: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Names, email addresses, phone numbers, financial data, customer records]</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Categories of data subjects: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Client's customers, employees, suppliers]</w:t>
            </w:r>
          </w:p>
        </w:tc>
      </w:tr>
    </w:tbl>
    <w:p>
      <w:pPr>
        <w:spacing w:after="60" w:before="60"/>
      </w:pPr>
      <w:r>
        <w:t xml:space="preserve"/>
      </w:r>
    </w:p>
    <w:p>
      <w:pPr>
        <w:spacing w:after="200" w:before="400"/>
      </w:pPr>
      <w:r>
        <w:rPr>
          <w:rFonts w:ascii="Arial" w:cs="Arial" w:eastAsia="Arial" w:hAnsi="Arial"/>
          <w:b/>
          <w:bCs/>
          <w:color w:val="1B3A6B"/>
          <w:sz w:val="32"/>
          <w:szCs w:val="32"/>
        </w:rPr>
        <w:t xml:space="preserve">4. Processor Obligations</w:t>
      </w:r>
    </w:p>
    <w:p>
      <w:pPr>
        <w:pStyle w:val="ListParagraph"/>
        <w:numPr>
          <w:ilvl w:val="0"/>
          <w:numId w:val="2"/>
        </w:numPr>
        <w:spacing w:after="80" w:before="60"/>
      </w:pPr>
      <w:r>
        <w:rPr>
          <w:rFonts w:ascii="Arial" w:cs="Arial" w:eastAsia="Arial" w:hAnsi="Arial"/>
          <w:sz w:val="22"/>
          <w:szCs w:val="22"/>
        </w:rPr>
        <w:t xml:space="preserve">Process personal data only on the documented instructions of the Controller, unless required to do so by law.</w:t>
      </w:r>
    </w:p>
    <w:p>
      <w:pPr>
        <w:pStyle w:val="ListParagraph"/>
        <w:numPr>
          <w:ilvl w:val="0"/>
          <w:numId w:val="2"/>
        </w:numPr>
        <w:spacing w:after="80" w:before="60"/>
      </w:pPr>
      <w:r>
        <w:rPr>
          <w:rFonts w:ascii="Arial" w:cs="Arial" w:eastAsia="Arial" w:hAnsi="Arial"/>
          <w:sz w:val="22"/>
          <w:szCs w:val="22"/>
        </w:rPr>
        <w:t xml:space="preserve">Ensure that all persons authorised to process personal data have committed themselves to confidentiality or are under an appropriate statutory obligation of confidentiality.</w:t>
      </w:r>
    </w:p>
    <w:p>
      <w:pPr>
        <w:pStyle w:val="ListParagraph"/>
        <w:numPr>
          <w:ilvl w:val="0"/>
          <w:numId w:val="2"/>
        </w:numPr>
        <w:spacing w:after="80" w:before="60"/>
      </w:pPr>
      <w:r>
        <w:rPr>
          <w:rFonts w:ascii="Arial" w:cs="Arial" w:eastAsia="Arial" w:hAnsi="Arial"/>
          <w:sz w:val="22"/>
          <w:szCs w:val="22"/>
        </w:rPr>
        <w:t xml:space="preserve">Implement appropriate technical and organisational measures to ensure a level of security appropriate to the risk, including as appropriate: (a) pseudonymisation and encryption; (b) ongoing confidentiality, integrity, and availability of systems; (c) ability to restore access following a technical incident; (d) regular testing of security measures.</w:t>
      </w:r>
    </w:p>
    <w:p>
      <w:pPr>
        <w:pStyle w:val="ListParagraph"/>
        <w:numPr>
          <w:ilvl w:val="0"/>
          <w:numId w:val="2"/>
        </w:numPr>
        <w:spacing w:after="80" w:before="60"/>
      </w:pPr>
      <w:r>
        <w:rPr>
          <w:rFonts w:ascii="Arial" w:cs="Arial" w:eastAsia="Arial" w:hAnsi="Arial"/>
          <w:sz w:val="22"/>
          <w:szCs w:val="22"/>
        </w:rPr>
        <w:t xml:space="preserve">Not engage any sub-processor without the prior written consent of the Controller. Where sub-processors are engaged (including VA contractors), Novalant shall impose data protection obligations no less stringent than those in this DPA.</w:t>
      </w:r>
    </w:p>
    <w:p>
      <w:pPr>
        <w:pStyle w:val="ListParagraph"/>
        <w:numPr>
          <w:ilvl w:val="0"/>
          <w:numId w:val="2"/>
        </w:numPr>
        <w:spacing w:after="80" w:before="60"/>
      </w:pPr>
      <w:r>
        <w:rPr>
          <w:rFonts w:ascii="Arial" w:cs="Arial" w:eastAsia="Arial" w:hAnsi="Arial"/>
          <w:sz w:val="22"/>
          <w:szCs w:val="22"/>
        </w:rPr>
        <w:t xml:space="preserve">Assist the Controller in responding to Data Subject requests under Chapter III of the UK GDPR.</w:t>
      </w:r>
    </w:p>
    <w:p>
      <w:pPr>
        <w:pStyle w:val="ListParagraph"/>
        <w:numPr>
          <w:ilvl w:val="0"/>
          <w:numId w:val="2"/>
        </w:numPr>
        <w:spacing w:after="80" w:before="60"/>
      </w:pPr>
      <w:r>
        <w:rPr>
          <w:rFonts w:ascii="Arial" w:cs="Arial" w:eastAsia="Arial" w:hAnsi="Arial"/>
          <w:sz w:val="22"/>
          <w:szCs w:val="22"/>
        </w:rPr>
        <w:t xml:space="preserve">Assist the Controller in complying with obligations under Articles 32–36 of the UK GDPR (security, breach notification, DPIAs).</w:t>
      </w:r>
    </w:p>
    <w:p>
      <w:pPr>
        <w:pStyle w:val="ListParagraph"/>
        <w:numPr>
          <w:ilvl w:val="0"/>
          <w:numId w:val="2"/>
        </w:numPr>
        <w:spacing w:after="80" w:before="60"/>
      </w:pPr>
      <w:r>
        <w:rPr>
          <w:rFonts w:ascii="Arial" w:cs="Arial" w:eastAsia="Arial" w:hAnsi="Arial"/>
          <w:sz w:val="22"/>
          <w:szCs w:val="22"/>
        </w:rPr>
        <w:t xml:space="preserve">At the choice of the Controller, delete or return all personal data to the Controller after the end of the provision of services, and delete existing copies unless required by applicable law.</w:t>
      </w:r>
    </w:p>
    <w:p>
      <w:pPr>
        <w:pStyle w:val="ListParagraph"/>
        <w:numPr>
          <w:ilvl w:val="0"/>
          <w:numId w:val="2"/>
        </w:numPr>
        <w:spacing w:after="80" w:before="60"/>
      </w:pPr>
      <w:r>
        <w:rPr>
          <w:rFonts w:ascii="Arial" w:cs="Arial" w:eastAsia="Arial" w:hAnsi="Arial"/>
          <w:sz w:val="22"/>
          <w:szCs w:val="22"/>
        </w:rPr>
        <w:t xml:space="preserve">Make available all information necessary to demonstrate compliance with this DPA and allow for and contribute to audits conducted by the Controller or an auditor mandated by the Controller, on thirty (30) days' written notice.</w:t>
      </w:r>
    </w:p>
    <w:p>
      <w:pPr>
        <w:spacing w:after="60" w:before="60"/>
      </w:pPr>
      <w:r>
        <w:t xml:space="preserve"/>
      </w:r>
    </w:p>
    <w:p>
      <w:pPr>
        <w:spacing w:after="200" w:before="400"/>
      </w:pPr>
      <w:r>
        <w:rPr>
          <w:rFonts w:ascii="Arial" w:cs="Arial" w:eastAsia="Arial" w:hAnsi="Arial"/>
          <w:b/>
          <w:bCs/>
          <w:color w:val="1B3A6B"/>
          <w:sz w:val="32"/>
          <w:szCs w:val="32"/>
        </w:rPr>
        <w:t xml:space="preserve">5. International Transfers</w:t>
      </w:r>
    </w:p>
    <w:p>
      <w:pPr>
        <w:spacing w:after="120" w:before="80"/>
      </w:pPr>
      <w:r>
        <w:rPr>
          <w:rFonts w:ascii="Arial" w:cs="Arial" w:eastAsia="Arial" w:hAnsi="Arial"/>
          <w:sz w:val="22"/>
          <w:szCs w:val="22"/>
        </w:rPr>
        <w:t xml:space="preserve">Where personal data is processed by a VA located outside the UK or EEA, Novalant shall ensure that an appropriate transfer mechanism is in place in accordance with UK GDPR Chapter V. This shall include ensuring that VA contractor agreements incorporate appropriate Standard Contractual Clauses or equivalent protections.</w:t>
      </w:r>
    </w:p>
    <w:p>
      <w:pPr>
        <w:spacing w:after="60" w:before="60"/>
      </w:pPr>
      <w:r>
        <w:t xml:space="preserve"/>
      </w:r>
    </w:p>
    <w:p>
      <w:pPr>
        <w:spacing w:after="200" w:before="400"/>
      </w:pPr>
      <w:r>
        <w:rPr>
          <w:rFonts w:ascii="Arial" w:cs="Arial" w:eastAsia="Arial" w:hAnsi="Arial"/>
          <w:b/>
          <w:bCs/>
          <w:color w:val="1B3A6B"/>
          <w:sz w:val="32"/>
          <w:szCs w:val="32"/>
        </w:rPr>
        <w:t xml:space="preserve">6. Data Breach Notification</w:t>
      </w:r>
    </w:p>
    <w:p>
      <w:pPr>
        <w:spacing w:after="120" w:before="80"/>
      </w:pPr>
      <w:r>
        <w:rPr>
          <w:rFonts w:ascii="Arial" w:cs="Arial" w:eastAsia="Arial" w:hAnsi="Arial"/>
          <w:sz w:val="22"/>
          <w:szCs w:val="22"/>
        </w:rPr>
        <w:t xml:space="preserve">Novalant shall notify the Controller without undue delay (and within 72 hours where feasible) upon becoming aware of a personal data breach affecting Controller personal data. The notification shall include all information required under Article 33(3) of the UK GDPR that is available at the time.</w:t>
      </w:r>
    </w:p>
    <w:p>
      <w:pPr>
        <w:spacing w:after="60" w:before="60"/>
      </w:pPr>
      <w:r>
        <w:t xml:space="preserve"/>
      </w:r>
    </w:p>
    <w:p>
      <w:pPr>
        <w:spacing w:after="200" w:before="400"/>
      </w:pPr>
      <w:r>
        <w:rPr>
          <w:rFonts w:ascii="Arial" w:cs="Arial" w:eastAsia="Arial" w:hAnsi="Arial"/>
          <w:b/>
          <w:bCs/>
          <w:color w:val="1B3A6B"/>
          <w:sz w:val="32"/>
          <w:szCs w:val="32"/>
        </w:rPr>
        <w:t xml:space="preserve">7. Controller Obligations</w:t>
      </w:r>
    </w:p>
    <w:p>
      <w:pPr>
        <w:pStyle w:val="ListParagraph"/>
        <w:numPr>
          <w:ilvl w:val="0"/>
          <w:numId w:val="2"/>
        </w:numPr>
        <w:spacing w:after="80" w:before="60"/>
      </w:pPr>
      <w:r>
        <w:rPr>
          <w:rFonts w:ascii="Arial" w:cs="Arial" w:eastAsia="Arial" w:hAnsi="Arial"/>
          <w:sz w:val="22"/>
          <w:szCs w:val="22"/>
        </w:rPr>
        <w:t xml:space="preserve">The Controller warrants that it has a lawful basis for all personal data shared with Novalant for processing.</w:t>
      </w:r>
    </w:p>
    <w:p>
      <w:pPr>
        <w:pStyle w:val="ListParagraph"/>
        <w:numPr>
          <w:ilvl w:val="0"/>
          <w:numId w:val="2"/>
        </w:numPr>
        <w:spacing w:after="80" w:before="60"/>
      </w:pPr>
      <w:r>
        <w:rPr>
          <w:rFonts w:ascii="Arial" w:cs="Arial" w:eastAsia="Arial" w:hAnsi="Arial"/>
          <w:sz w:val="22"/>
          <w:szCs w:val="22"/>
        </w:rPr>
        <w:t xml:space="preserve">The Controller shall provide Novalant with all information necessary to enable Novalant to fulfil its obligations under this DPA.</w:t>
      </w:r>
    </w:p>
    <w:p>
      <w:pPr>
        <w:spacing w:after="60" w:before="60"/>
      </w:pPr>
      <w:r>
        <w:t xml:space="preserve"/>
      </w:r>
    </w:p>
    <w:p>
      <w:pPr>
        <w:spacing w:after="200" w:before="400"/>
      </w:pPr>
      <w:r>
        <w:rPr>
          <w:rFonts w:ascii="Arial" w:cs="Arial" w:eastAsia="Arial" w:hAnsi="Arial"/>
          <w:b/>
          <w:bCs/>
          <w:color w:val="1B3A6B"/>
          <w:sz w:val="32"/>
          <w:szCs w:val="32"/>
        </w:rPr>
        <w:t xml:space="preserve">8. Governing Law</w:t>
      </w:r>
    </w:p>
    <w:p>
      <w:pPr>
        <w:spacing w:after="120" w:before="80"/>
      </w:pPr>
      <w:r>
        <w:rPr>
          <w:rFonts w:ascii="Arial" w:cs="Arial" w:eastAsia="Arial" w:hAnsi="Arial"/>
          <w:sz w:val="22"/>
          <w:szCs w:val="22"/>
        </w:rPr>
        <w:t xml:space="preserve">This DPA is governed by the laws of England and Wales. The parties agree to submit to the jurisdiction of the courts of England and Wales.</w:t>
      </w:r>
    </w:p>
    <w:p>
      <w:pPr>
        <w:spacing w:after="60" w:before="60"/>
      </w:pPr>
      <w:r>
        <w:t xml:space="preserve"/>
      </w:r>
    </w:p>
    <w:p>
      <w:pPr>
        <w:pBdr>
          <w:bottom w:val="single" w:color="1B3A6B" w:sz="4" w:space="1"/>
        </w:pBdr>
        <w:spacing w:after="160" w:before="160"/>
      </w:pPr>
    </w:p>
    <w:p>
      <w:pPr>
        <w:spacing w:after="160" w:before="280"/>
      </w:pPr>
      <w:r>
        <w:rPr>
          <w:rFonts w:ascii="Arial" w:cs="Arial" w:eastAsia="Arial" w:hAnsi="Arial"/>
          <w:b/>
          <w:bCs/>
          <w:color w:val="1B3A6B"/>
          <w:sz w:val="26"/>
          <w:szCs w:val="26"/>
        </w:rPr>
        <w:t xml:space="preserve">Signatures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left w:val="none"/>
              <w:bottom w:val="none"/>
              <w:right w:val="none"/>
            </w:tcBorders>
            <w:tcMar>
              <w:top w:type="dxa" w:w="80"/>
              <w:left w:type="dxa" w:w="0"/>
              <w:bottom w:type="dxa" w:w="80"/>
              <w:right w:type="dxa" w:w="200"/>
            </w:tcMar>
          </w:tcPr>
          <w:p>
            <w:r>
              <w:rPr>
                <w:rFonts w:ascii="Arial" w:cs="Arial" w:eastAsia="Arial" w:hAnsi="Arial"/>
                <w:b/>
                <w:bCs/>
                <w:sz w:val="20"/>
                <w:szCs w:val="20"/>
              </w:rPr>
              <w:t xml:space="preserve">For and on behalf of Novalant Staffing Ltd (Data Processor):</w:t>
            </w:r>
          </w:p>
          <w:p>
            <w:pPr>
              <w:spacing w:after="60" w:before="60"/>
            </w:pPr>
            <w:r>
              <w:t xml:space="preserve"/>
            </w:r>
          </w:p>
          <w:p>
            <w:pPr>
              <w:pBdr>
                <w:bottom w:val="single" w:color="000000" w:sz="2"/>
              </w:pBdr>
            </w:pPr>
            <w:r>
              <w:rPr>
                <w:rFonts w:ascii="Arial" w:cs="Arial" w:eastAsia="Arial" w:hAnsi="Arial"/>
                <w:sz w:val="20"/>
                <w:szCs w:val="20"/>
              </w:rPr>
              <w:t xml:space="preserve">                                                  </w:t>
            </w:r>
          </w:p>
          <w:p>
            <w:r>
              <w:rPr>
                <w:rFonts w:ascii="Arial" w:cs="Arial" w:eastAsia="Arial" w:hAnsi="Arial"/>
                <w:color w:val="888888"/>
                <w:sz w:val="18"/>
                <w:szCs w:val="18"/>
              </w:rPr>
              <w:t xml:space="preserve">Signature</w:t>
            </w:r>
          </w:p>
          <w:p>
            <w:pPr>
              <w:spacing w:after="60" w:before="60"/>
            </w:pPr>
            <w:r>
              <w:t xml:space="preserve"/>
            </w:r>
          </w:p>
          <w:p>
            <w:r>
              <w:rPr>
                <w:rFonts w:ascii="Arial" w:cs="Arial" w:eastAsia="Arial" w:hAnsi="Arial"/>
                <w:sz w:val="20"/>
                <w:szCs w:val="20"/>
              </w:rPr>
              <w:t xml:space="preserve">Name: [Name]</w:t>
            </w:r>
          </w:p>
          <w:p>
            <w:r>
              <w:rPr>
                <w:rFonts w:ascii="Arial" w:cs="Arial" w:eastAsia="Arial" w:hAnsi="Arial"/>
                <w:sz w:val="20"/>
                <w:szCs w:val="20"/>
              </w:rPr>
              <w:t xml:space="preserve">Title: [Title]</w:t>
            </w:r>
          </w:p>
          <w:p>
            <w:r>
              <w:rPr>
                <w:rFonts w:ascii="Arial" w:cs="Arial" w:eastAsia="Arial" w:hAnsi="Arial"/>
                <w:sz w:val="20"/>
                <w:szCs w:val="20"/>
              </w:rPr>
              <w:t xml:space="preserve">Date: [Date]</w:t>
            </w:r>
          </w:p>
        </w:tc>
        <w:tc>
          <w:tcPr>
            <w:tcW w:type="dxa" w:w="4613"/>
            <w:tcBorders>
              <w:top w:val="none"/>
              <w:left w:val="none"/>
              <w:bottom w:val="none"/>
              <w:right w:val="none"/>
            </w:tcBorders>
            <w:tcMar>
              <w:top w:type="dxa" w:w="80"/>
              <w:left w:type="dxa" w:w="200"/>
              <w:bottom w:type="dxa" w:w="80"/>
              <w:right w:type="dxa" w:w="0"/>
            </w:tcMar>
          </w:tcPr>
          <w:p>
            <w:r>
              <w:t xml:space="preserve"/>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left w:val="none"/>
              <w:bottom w:val="none"/>
              <w:right w:val="none"/>
            </w:tcBorders>
            <w:tcMar>
              <w:top w:type="dxa" w:w="80"/>
              <w:left w:type="dxa" w:w="0"/>
              <w:bottom w:type="dxa" w:w="80"/>
              <w:right w:type="dxa" w:w="200"/>
            </w:tcMar>
          </w:tcPr>
          <w:p>
            <w:r>
              <w:rPr>
                <w:rFonts w:ascii="Arial" w:cs="Arial" w:eastAsia="Arial" w:hAnsi="Arial"/>
                <w:b/>
                <w:bCs/>
                <w:sz w:val="20"/>
                <w:szCs w:val="20"/>
              </w:rPr>
              <w:t xml:space="preserve">For and on behalf of Controller:</w:t>
            </w:r>
          </w:p>
          <w:p>
            <w:pPr>
              <w:spacing w:after="60" w:before="60"/>
            </w:pPr>
            <w:r>
              <w:t xml:space="preserve"/>
            </w:r>
          </w:p>
          <w:p>
            <w:pPr>
              <w:pBdr>
                <w:bottom w:val="single" w:color="000000" w:sz="2"/>
              </w:pBdr>
            </w:pPr>
            <w:r>
              <w:rPr>
                <w:rFonts w:ascii="Arial" w:cs="Arial" w:eastAsia="Arial" w:hAnsi="Arial"/>
                <w:sz w:val="20"/>
                <w:szCs w:val="20"/>
              </w:rPr>
              <w:t xml:space="preserve">                                                  </w:t>
            </w:r>
          </w:p>
          <w:p>
            <w:r>
              <w:rPr>
                <w:rFonts w:ascii="Arial" w:cs="Arial" w:eastAsia="Arial" w:hAnsi="Arial"/>
                <w:color w:val="888888"/>
                <w:sz w:val="18"/>
                <w:szCs w:val="18"/>
              </w:rPr>
              <w:t xml:space="preserve">Signature</w:t>
            </w:r>
          </w:p>
          <w:p>
            <w:pPr>
              <w:spacing w:after="60" w:before="60"/>
            </w:pPr>
            <w:r>
              <w:t xml:space="preserve"/>
            </w:r>
          </w:p>
          <w:p>
            <w:r>
              <w:rPr>
                <w:rFonts w:ascii="Arial" w:cs="Arial" w:eastAsia="Arial" w:hAnsi="Arial"/>
                <w:sz w:val="20"/>
                <w:szCs w:val="20"/>
              </w:rPr>
              <w:t xml:space="preserve">Name: [Authorised Signatory of Controller]</w:t>
            </w:r>
          </w:p>
          <w:p>
            <w:r>
              <w:rPr>
                <w:rFonts w:ascii="Arial" w:cs="Arial" w:eastAsia="Arial" w:hAnsi="Arial"/>
                <w:sz w:val="20"/>
                <w:szCs w:val="20"/>
              </w:rPr>
              <w:t xml:space="preserve">Title: [Title]</w:t>
            </w:r>
          </w:p>
          <w:p>
            <w:r>
              <w:rPr>
                <w:rFonts w:ascii="Arial" w:cs="Arial" w:eastAsia="Arial" w:hAnsi="Arial"/>
                <w:sz w:val="20"/>
                <w:szCs w:val="20"/>
              </w:rPr>
              <w:t xml:space="preserve">Date: [Date]</w:t>
            </w:r>
          </w:p>
        </w:tc>
        <w:tc>
          <w:tcPr>
            <w:tcW w:type="dxa" w:w="4613"/>
            <w:tcBorders>
              <w:top w:val="none"/>
              <w:left w:val="none"/>
              <w:bottom w:val="none"/>
              <w:right w:val="none"/>
            </w:tcBorders>
            <w:tcMar>
              <w:top w:type="dxa" w:w="80"/>
              <w:left w:type="dxa" w:w="200"/>
              <w:bottom w:type="dxa" w:w="80"/>
              <w:right w:type="dxa" w:w="0"/>
            </w:tcMar>
          </w:tcPr>
          <w:p>
            <w: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2" w:space="1"/>
      </w:pBdr>
    </w:pPr>
    <w:r>
      <w:rPr>
        <w:rFonts w:ascii="Arial" w:cs="Arial" w:eastAsia="Arial" w:hAnsi="Arial"/>
        <w:color w:val="888888"/>
        <w:sz w:val="16"/>
        <w:szCs w:val="16"/>
      </w:rPr>
      <w:t xml:space="preserve">Novalant Staffing Ltd — VA Division | This document is subject to review by a qualified solicitor before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026"/>
      </w:tabs>
    </w:pPr>
    <w:r>
      <w:rPr>
        <w:rFonts w:ascii="Arial" w:cs="Arial" w:eastAsia="Arial" w:hAnsi="Arial"/>
        <w:b/>
        <w:bCs/>
        <w:color w:val="1B3A6B"/>
        <w:sz w:val="18"/>
        <w:szCs w:val="18"/>
      </w:rPr>
      <w:t xml:space="preserve">NOVALANT STAFFING LTD</w:t>
    </w:r>
    <w:r>
      <w:rPr>
        <w:rFonts w:ascii="Arial" w:cs="Arial" w:eastAsia="Arial" w:hAnsi="Arial"/>
        <w:color w:val="888888"/>
        <w:sz w:val="18"/>
        <w:szCs w:val="18"/>
      </w:rPr>
      <w:t xml:space="preserve">	DATA PROCESSING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2026-04-03T15:27:24.643Z</dcterms:created>
  <dcterms:modified xsi:type="dcterms:W3CDTF">2026-04-03T15:27:24.643Z</dcterms:modified>
</cp:coreProperties>
</file>

<file path=docProps/custom.xml><?xml version="1.0" encoding="utf-8"?>
<Properties xmlns="http://schemas.openxmlformats.org/officeDocument/2006/custom-properties" xmlns:vt="http://schemas.openxmlformats.org/officeDocument/2006/docPropsVTypes"/>
</file>