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drawing>
          <wp:inline xmlns:a="http://schemas.openxmlformats.org/drawingml/2006/main" xmlns:pic="http://schemas.openxmlformats.org/drawingml/2006/picture">
            <wp:extent cx="2340000" cy="811778"/>
            <wp:docPr id="1" name="Picture 1"/>
            <wp:cNvGraphicFramePr>
              <a:graphicFrameLocks noChangeAspect="1"/>
            </wp:cNvGraphicFramePr>
            <a:graphic>
              <a:graphicData uri="http://schemas.openxmlformats.org/drawingml/2006/picture">
                <pic:pic>
                  <pic:nvPicPr>
                    <pic:cNvPr id="0" name="wordmark_ink.png"/>
                    <pic:cNvPicPr/>
                  </pic:nvPicPr>
                  <pic:blipFill>
                    <a:blip r:embed="rId11"/>
                    <a:stretch>
                      <a:fillRect/>
                    </a:stretch>
                  </pic:blipFill>
                  <pic:spPr>
                    <a:xfrm>
                      <a:off x="0" y="0"/>
                      <a:ext cx="2340000" cy="811778"/>
                    </a:xfrm>
                    <a:prstGeom prst="rect"/>
                  </pic:spPr>
                </pic:pic>
              </a:graphicData>
            </a:graphic>
          </wp:inline>
        </w:drawing>
      </w:r>
    </w:p>
    <w:p>
      <w:pPr>
        <w:spacing w:before="1400"/>
        <w:pBdr>
          <w:bottom w:val="single" w:sz="18" w:space="4" w:color="F0916A"/>
        </w:pBdr>
      </w:pPr>
      <w:r>
        <w:rPr>
          <w:rFonts w:ascii="Georgia" w:hAnsi="Georgia"/>
          <w:color w:val="201C19"/>
          <w:sz w:val="60"/>
        </w:rPr>
        <w:t>Helium, modèle d'affaires et étude de cas de lancement</w:t>
      </w:r>
    </w:p>
    <w:p>
      <w:pPr>
        <w:spacing w:before="200"/>
      </w:pPr>
      <w:r>
        <w:rPr>
          <w:rFonts w:ascii="Georgia" w:hAnsi="Georgia"/>
          <w:color w:val="8A8178"/>
          <w:sz w:val="30"/>
        </w:rPr>
        <w:t>Un majordome IA sous contrôle pour les cadres pressés. Analyse, options, recommandation et mémo de décision</w:t>
      </w:r>
    </w:p>
    <w:p>
      <w:pPr>
        <w:spacing w:before="2400"/>
      </w:pPr>
    </w:p>
    <w:p>
      <w:pPr>
        <w:spacing w:after="40"/>
      </w:pPr>
      <w:r>
        <w:rPr>
          <w:color w:val="8A8178"/>
          <w:sz w:val="18"/>
        </w:rPr>
        <w:t xml:space="preserve">Préparé par  </w:t>
      </w:r>
      <w:r>
        <w:rPr>
          <w:color w:val="201C19"/>
          <w:sz w:val="20"/>
        </w:rPr>
        <w:t>Assistant IA Direction, méthode consulting-os, à la demande du CEO (Malik)</w:t>
      </w:r>
    </w:p>
    <w:p>
      <w:pPr>
        <w:spacing w:after="40"/>
      </w:pPr>
      <w:r>
        <w:rPr>
          <w:color w:val="8A8178"/>
          <w:sz w:val="18"/>
        </w:rPr>
        <w:t xml:space="preserve">Pour  </w:t>
      </w:r>
      <w:r>
        <w:rPr>
          <w:color w:val="201C19"/>
          <w:sz w:val="20"/>
        </w:rPr>
        <w:t>Board Helium (HEC GEMM Group 4) : Malik, Sébastien, Alice, Steve, Isaac, Tiffany</w:t>
      </w:r>
    </w:p>
    <w:p>
      <w:pPr>
        <w:spacing w:after="40"/>
      </w:pPr>
      <w:r>
        <w:rPr>
          <w:color w:val="8A8178"/>
          <w:sz w:val="18"/>
        </w:rPr>
        <w:t xml:space="preserve">Date  </w:t>
      </w:r>
      <w:r>
        <w:rPr>
          <w:color w:val="201C19"/>
          <w:sz w:val="20"/>
        </w:rPr>
        <w:t>27 octobre 2026</w:t>
      </w:r>
    </w:p>
    <w:p>
      <w:pPr>
        <w:spacing w:after="40"/>
      </w:pPr>
      <w:r>
        <w:rPr>
          <w:color w:val="8A8178"/>
          <w:sz w:val="18"/>
        </w:rPr>
        <w:t xml:space="preserve">Statut  </w:t>
      </w:r>
      <w:r>
        <w:rPr>
          <w:color w:val="201C19"/>
          <w:sz w:val="20"/>
        </w:rPr>
        <w:t>Document de travail. Faits, estimations et assertions sont marqués ; aucune décision n'est actée tant qu'elle n'est pas au registre</w:t>
      </w:r>
    </w:p>
    <w:p>
      <w:pPr>
        <w:spacing w:after="40"/>
      </w:pPr>
      <w:r>
        <w:rPr>
          <w:color w:val="8A8178"/>
          <w:sz w:val="18"/>
        </w:rPr>
        <w:t xml:space="preserve">Version  </w:t>
      </w:r>
      <w:r>
        <w:rPr>
          <w:color w:val="201C19"/>
          <w:sz w:val="20"/>
        </w:rPr>
        <w:t>1.0</w:t>
      </w:r>
    </w:p>
    <w:p>
      <w:r>
        <w:br w:type="page"/>
      </w:r>
    </w:p>
    <w:p>
      <w:pPr>
        <w:pStyle w:val="Heading1"/>
        <w:pBdr>
          <w:bottom w:val="single" w:sz="10" w:space="4" w:color="F0916A"/>
        </w:pBdr>
      </w:pPr>
      <w:r>
        <w:t>Résumé exécutif</w:t>
      </w:r>
    </w:p>
    <w:p>
      <w:r>
        <w:rPr>
          <w:b/>
        </w:rPr>
        <w:t>Pensée directrice.</w:t>
      </w:r>
      <w:r>
        <w:t xml:space="preserve"> Helium doit se lancer en France comme majordome personnel 100 % IA à 79 € par mois pour les cadres qui manquent de temps, mais uniquement à travers une porte d'évidence de 90 jours. Le marché existe et le couloir de prix entre 20 € et 300 € est vide ; en revanche les deux chiffres qui portent le cas, le coût de service par client et le consentement à payer, n'ont jamais été mesurés. La porte coûte moins de 15 k€ et le temps des six fondateurs ; un lancement sans elle expose 170 k€ dans le scénario central et 560 k€ dans le scénario prudent, qui n'atteint jamais l'équilibre.</w:t>
      </w:r>
    </w:p>
    <w:p>
      <w:r>
        <w:t>Trois arguments la soutiennent :</w:t>
      </w:r>
    </w:p>
    <w:p>
      <w:pPr>
        <w:spacing w:after="60"/>
        <w:ind w:left="425" w:hanging="425"/>
      </w:pPr>
      <w:r>
        <w:rPr>
          <w:b/>
        </w:rPr>
        <w:t>1.</w:t>
        <w:tab/>
      </w:r>
      <w:r>
        <w:rPr>
          <w:b/>
        </w:rPr>
        <w:t>La demande est large, chiffrée et mal servie.</w:t>
      </w:r>
      <w:r>
        <w:t xml:space="preserve"> 7,3 millions de cadres en France (Insee, 2025), dont 76 % utilisent déjà une IA générative ; 53 % des Français sont prêts à déléguer des tâches à une IA, 43 % uniquement avec validation finale (Ifop, mars 2026) ; cœur de cible estimé à 1,1 million de cadres de 25 à 49 ans avec enfants prêts à déléguer sous validation (estimation à trois coefficients sourcés). Les assistants généralistes à 18 à 23 € par mois attendent qu'on leur parle, et en octobre 2026 aucun agent proactif grand public des majors n'est disponible dans l'EEE ; les conciergeries humaines à 250 à 600 € par mois exécutent mais coûtent un salaire ; les applications familiales organisent sans rien exécuter. Personne n'exécute les démarches personnelles sous le contrôle explicite du client, avec la mémoire du foyer.</w:t>
      </w:r>
    </w:p>
    <w:p>
      <w:pPr>
        <w:spacing w:after="60"/>
        <w:ind w:left="425" w:hanging="425"/>
      </w:pPr>
      <w:r>
        <w:rPr>
          <w:b/>
        </w:rPr>
        <w:t>2.</w:t>
        <w:tab/>
      </w:r>
      <w:r>
        <w:rPr>
          <w:b/>
        </w:rPr>
        <w:t>L'économie unitaire est bonne si deux hypothèses tiennent.</w:t>
      </w:r>
      <w:r>
        <w:t xml:space="preserve"> À 79 € TTC, un abonné Premium rapporte 65,83 € HT et laisse 48 € de contribution si le coût de service est de 18 € ; le CAC de 150 € est remboursé en 3 mois et la LTV vaut 10 fois le CAC à 3 % de churn. Si le coût de service est de 30 € et le consentement à payer de 59 €, la contribution tombe à 22 € et le cas ne tient plus. Ces deux variables se mesurent en 60 jours pour moins de 10 k€.</w:t>
      </w:r>
    </w:p>
    <w:p>
      <w:pPr>
        <w:spacing w:after="60"/>
        <w:ind w:left="425" w:hanging="425"/>
      </w:pPr>
      <w:r>
        <w:rPr>
          <w:b/>
        </w:rPr>
        <w:t>3.</w:t>
        <w:tab/>
      </w:r>
      <w:r>
        <w:rPr>
          <w:b/>
        </w:rPr>
        <w:t>Le vrai concurrent n'est pas une conciergerie, c'est le prochain trimestre d'OpenAI et de Google.</w:t>
      </w:r>
      <w:r>
        <w:t xml:space="preserve"> Les généralistes ajoutent des agents à prix constant, et leur arrivée en Europe est une question de mois : la fenêtre est de douze à vingt-quatre mois (estimation). Helium ne gagne pas en étant « meilleur » sur la même chose ; il gagne sur ce qu'ils ne feront pas structurellement : un mandat explicite par action, un journal opposable, la séparation des sphères du foyer, un hébergement et une gouvernance des données conçus pour la France. C'est une position de confiance, et elle se construit avant la fonctionnalité, pas après.</w:t>
      </w:r>
    </w:p>
    <w:p>
      <w:r>
        <w:rPr>
          <w:b/>
        </w:rPr>
        <w:t>Contre-argument le plus fort.</w:t>
      </w:r>
      <w:r>
        <w:t xml:space="preserve"> « C'est un projet de GEMM ; le jury veut un business plan convaincant, pas un pilote mesuré. » Il survit à moitié : si la Direction tranche « projet pédagogique seulement », le plan se réduit à douze entretiens, une étude de cas et une présentation. Mais un business plan fondé sur des hypothèses non testées sera jugé comme tel, et la porte d'évidence est aussi ce qui rend le pitch crédible.</w:t>
      </w:r>
    </w:p>
    <w:p>
      <w:r>
        <w:rPr>
          <w:b/>
        </w:rPr>
        <w:t>Ce qui nous ferait changer d'avis.</w:t>
      </w:r>
      <w:r>
        <w:t xml:space="preserve"> Un consentement à payer médian inférieur à 59 € TTC chez les cadres interrogés, ou un coût mesuré par mission supérieur à 0,30 €, ou l'ouverture en Europe, avant notre lancement, d'un agent généraliste exécutant les démarches personnelles avec mémoire du foyer sous 30 €. Yohana, majordome humain à 249 $ soutenu par Panasonic, a fermé en janvier 2026 : le consentement à payer pour un « majordome » reste à prouver au-dessus de 23 €.</w:t>
      </w:r>
    </w:p>
    <w:p>
      <w:r>
        <w:br w:type="page"/>
      </w:r>
    </w:p>
    <w:p>
      <w:pPr>
        <w:pStyle w:val="Heading1"/>
        <w:pBdr>
          <w:bottom w:val="single" w:sz="10" w:space="4" w:color="F0916A"/>
        </w:pBdr>
      </w:pPr>
      <w:r>
        <w:t>1. Situation</w:t>
      </w:r>
    </w:p>
    <w:p>
      <w:r>
        <w:t xml:space="preserve">Le 26 octobre 2026, lors de la séance « Innover et entreprendre avec l'IA : le Second Brain », le groupe 4 a installé un dépôt structuré par fonction (fait : dépôt </w:t>
      </w:r>
      <w:r>
        <w:rPr>
          <w:rFonts w:ascii="Consolas" w:hAnsi="Consolas" w:eastAsia="Consolas"/>
        </w:rPr>
        <w:t>HEC-Group4-Brain</w:t>
      </w:r>
      <w:r>
        <w:t>). Le 27 octobre, les assistants de chaque fonction ont produit vingt-cinq documents : canvas, business plan, scénarios de trésorerie, segmentation, argumentaires, cadrage MVP, cinq projets juridiques (fait). Tous se déclarent propositions ou hypothèses ; le registre des décisions est vide (fait).</w:t>
      </w:r>
    </w:p>
    <w:p>
      <w:r>
        <w:t>Le produit proposé : un majordome numérique personnel premium, sans concierge humain, qui lit les courriels, l'agenda et les documents du client avec son autorisation, anticipe les échéances, prend des rendez-vous, réserve, prépare des déplacements et des brouillons, coordonne l'agenda familial. Trois offres hypothétiques : Personal 29 €, Premium 79 €, Family 129 € TTC par mois (BMC V2, hypothèse H01).</w:t>
      </w:r>
    </w:p>
    <w:p>
      <w:r>
        <w:t>L'équipe : six fondateurs à temps partiel, en formation exécutive, avec des emplois. Malik (CEO, Direction), Sébastien (Finance), Alice (Marketing), Steve (Produit et Ventes), Isaac (Opérations), Tiffany (Affaires juridiques et archiviste). Aucune société, aucun apport versé, aucun financement (fait : notes Finance).</w:t>
      </w:r>
    </w:p>
    <w:p>
      <w:pPr>
        <w:pStyle w:val="Heading1"/>
        <w:pBdr>
          <w:bottom w:val="single" w:sz="10" w:space="4" w:color="F0916A"/>
        </w:pBdr>
      </w:pPr>
      <w:r>
        <w:t>2. Complication</w:t>
      </w:r>
    </w:p>
    <w:p>
      <w:r>
        <w:t>Trois tensions rendent le lancement risqué tel quel.</w:t>
      </w:r>
    </w:p>
    <w:p>
      <w:pPr>
        <w:pStyle w:val="ListBullet"/>
      </w:pPr>
      <w:r>
        <w:rPr>
          <w:b/>
        </w:rPr>
        <w:t>Le dépôt contient des propositions, pas des faits.</w:t>
      </w:r>
      <w:r>
        <w:t xml:space="preserve"> Sur les huit hypothèses du registre Finance (H01 à H08), aucune n'est mesurée. Les scénarios de trésorerie reposent sur un coût variable de 18 € et un CAC de 150 € qui sont des assertions.</w:t>
      </w:r>
    </w:p>
    <w:p>
      <w:pPr>
        <w:pStyle w:val="ListBullet"/>
      </w:pPr>
      <w:r>
        <w:rPr>
          <w:b/>
        </w:rPr>
        <w:t>Le temps joue contre la différenciation.</w:t>
      </w:r>
      <w:r>
        <w:t xml:space="preserve"> ChatGPT, Claude et Le Chat offrent déjà en France des connecteurs Gmail et Agenda avec approbation avant envoi ; les agents proactifs (dots, Gemini Spark, Claude Duet, Siri AI, Meta Muse) existent mais sont exclus de l'EEE en octobre 2026 (analyse de marché, § 6). L'écart fonctionnel se refermera en quelques mois après leur ouverture européenne, à prix constant.</w:t>
      </w:r>
    </w:p>
    <w:p>
      <w:pPr>
        <w:pStyle w:val="ListBullet"/>
      </w:pPr>
      <w:r>
        <w:rPr>
          <w:b/>
        </w:rPr>
        <w:t>Le projet n'a pas encore décidé ce qu'il est.</w:t>
      </w:r>
      <w:r>
        <w:t xml:space="preserve"> Projet pédagogique ou création d'entreprise ? Qui continue après HEC ? Qui possède le code ? Les statuts en dépôt prévoient une SASU à associé unique pour une équipe de six (fait : projet de statuts).</w:t>
      </w:r>
    </w:p>
    <w:p>
      <w:pPr>
        <w:pStyle w:val="Heading1"/>
        <w:pBdr>
          <w:bottom w:val="single" w:sz="10" w:space="4" w:color="F0916A"/>
        </w:pBdr>
      </w:pPr>
      <w:r>
        <w:t>3. Question</w:t>
      </w:r>
    </w:p>
    <w:p>
      <w:r>
        <w:t>Quelles décisions, dans quel ordre et pour quel coût, permettent de savoir en 90 jours si Helium mérite 170 k€ et dix-huit mois de six personnes ?</w:t>
      </w:r>
    </w:p>
    <w:p>
      <w:r>
        <w:t>Sous-questions, chacune résoluble par une preuve :</w:t>
      </w:r>
    </w:p>
    <w:p>
      <w:pPr>
        <w:spacing w:after="60"/>
        <w:ind w:left="425" w:hanging="425"/>
      </w:pPr>
      <w:r>
        <w:rPr>
          <w:b/>
        </w:rPr>
        <w:t>1.</w:t>
        <w:tab/>
      </w:r>
      <w:r>
        <w:t>Les cadres pressés paient-ils 79 € par mois pour l'exécution sous contrôle ? Preuve : 30 entretiens avec Van Westendorp, puis 10 pilotes payants.</w:t>
      </w:r>
    </w:p>
    <w:p>
      <w:pPr>
        <w:spacing w:after="60"/>
        <w:ind w:left="425" w:hanging="425"/>
      </w:pPr>
      <w:r>
        <w:rPr>
          <w:b/>
        </w:rPr>
        <w:t>2.</w:t>
        <w:tab/>
      </w:r>
      <w:r>
        <w:t>Peut-on servir un client Premium pour moins de 18 € HT par mois avec 80 % de missions réussies ? Preuve : mesure des missions 1 et 5 sur un prototype, une semaine, cinq utilisateurs.</w:t>
      </w:r>
    </w:p>
    <w:p>
      <w:pPr>
        <w:spacing w:after="60"/>
        <w:ind w:left="425" w:hanging="425"/>
      </w:pPr>
      <w:r>
        <w:rPr>
          <w:b/>
        </w:rPr>
        <w:t>3.</w:t>
        <w:tab/>
      </w:r>
      <w:r>
        <w:t>Le canal HEC, alumni, LinkedIn et parrainage donne-t-il un CAC sous 150 € ? Preuve : trois pages d'atterrissage, cohortes mesurées.</w:t>
      </w:r>
    </w:p>
    <w:p>
      <w:pPr>
        <w:spacing w:after="60"/>
        <w:ind w:left="425" w:hanging="425"/>
      </w:pPr>
      <w:r>
        <w:rPr>
          <w:b/>
        </w:rPr>
        <w:t>4.</w:t>
        <w:tab/>
      </w:r>
      <w:r>
        <w:t>Existe-t-il un obstacle juridique ou de plateforme bloquant ? Preuve : revue des cinq projets, vérification des scopes Gmail et du régime touristique.</w:t>
      </w:r>
    </w:p>
    <w:p>
      <w:r>
        <w:t>Branches écartées : le marché international (hors périmètre tant que la France n'est pas prouvée) ; la voix et l'assistant téléphonique (reportés par le cadrage MVP) ; les paiements par le majordome (exclus du MVP, risque juridique et de confiance).</w:t>
      </w:r>
    </w:p>
    <w:p>
      <w:pPr>
        <w:pStyle w:val="Heading1"/>
        <w:pBdr>
          <w:bottom w:val="single" w:sz="10" w:space="4" w:color="F0916A"/>
        </w:pBdr>
      </w:pPr>
      <w:r>
        <w:t>4. Réponse</w:t>
      </w:r>
    </w:p>
    <w:p>
      <w:r>
        <w:t>Lancer Helium comme majordome premium B2C, en trois temps : une porte d'évidence de 90 jours (moins de 15 k€), puis, sur décision du Board, un lancement financé par jalons (environ 170 k€ dans le scénario central), avec la piste employeur (B2B2C) préparée comme repli si le CAC B2C dépasse 240 €. Le détail suit.</w:t>
      </w:r>
    </w:p>
    <w:p>
      <w:r>
        <w:br w:type="page"/>
      </w:r>
    </w:p>
    <w:p>
      <w:pPr>
        <w:pStyle w:val="Heading1"/>
        <w:pBdr>
          <w:bottom w:val="single" w:sz="10" w:space="4" w:color="F0916A"/>
        </w:pBdr>
      </w:pPr>
      <w:r>
        <w:t>5. Modèle d'affaires</w:t>
      </w:r>
    </w:p>
    <w:p>
      <w:pPr>
        <w:pStyle w:val="Heading2"/>
      </w:pPr>
      <w:r>
        <w:t>5.1 Canvas V3</w:t>
      </w:r>
    </w:p>
    <w:tbl>
      <w:tblPr>
        <w:tblW w:type="auto" w:w="0"/>
        <w:jc w:val="center"/>
        <w:tblLayout w:type="fixed"/>
        <w:tblLook w:firstColumn="1" w:firstRow="1" w:lastColumn="0" w:lastRow="0" w:noHBand="0" w:noVBand="1" w:val="04A0"/>
      </w:tblPr>
      <w:tblGrid>
        <w:gridCol w:w="1329"/>
        <w:gridCol w:w="4996"/>
        <w:gridCol w:w="3087"/>
      </w:tblGrid>
      <w:tr>
        <w:tc>
          <w:tcPr>
            <w:tcW w:type="dxa" w:w="132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Bloc</w:t>
            </w:r>
          </w:p>
        </w:tc>
        <w:tc>
          <w:tcPr>
            <w:tcW w:type="dxa" w:w="499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Contenu (V3)</w:t>
            </w:r>
          </w:p>
        </w:tc>
        <w:tc>
          <w:tcPr>
            <w:tcW w:type="dxa" w:w="308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Ce qui change par rapport à la V2</w:t>
            </w:r>
          </w:p>
        </w:tc>
      </w:tr>
      <w:tr>
        <w:tc>
          <w:tcPr>
            <w:tcW w:type="dxa" w:w="13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Segments</w:t>
            </w:r>
          </w:p>
        </w:tc>
        <w:tc>
          <w:tcPr>
            <w:tcW w:type="dxa" w:w="4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P1 cadres supérieurs très actifs, 35 à 50 ans ; P1 couples bi-actifs aisés avec enfants ; P2 dirigeants et professions libérales ; P3 actifs confortables sensibles au prix</w:t>
            </w:r>
          </w:p>
        </w:tc>
        <w:tc>
          <w:tcPr>
            <w:tcW w:type="dxa" w:w="308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Les dirigeants passent en P2 : confusion pro/perso et exigence de confiance accrue</w:t>
            </w:r>
          </w:p>
        </w:tc>
      </w:tr>
      <w:tr>
        <w:tc>
          <w:tcPr>
            <w:tcW w:type="dxa" w:w="13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Proposition de valeur</w:t>
            </w:r>
          </w:p>
        </w:tc>
        <w:tc>
          <w:tcPr>
            <w:tcW w:type="dxa" w:w="4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Exécution proactive des démarches personnelles, sous contrôle explicite, avec la mémoire du foyer. Trois engagements : il anticipe ; il agit sous votre contrôle ; vos données restent les vôtres</w:t>
            </w:r>
          </w:p>
        </w:tc>
        <w:tc>
          <w:tcPr>
            <w:tcW w:type="dxa" w:w="308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 « 24/7 » et les gains de temps chiffrés sont retirés tant qu'ils ne sont pas mesurés</w:t>
            </w:r>
          </w:p>
        </w:tc>
      </w:tr>
      <w:tr>
        <w:tc>
          <w:tcPr>
            <w:tcW w:type="dxa" w:w="13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Canaux</w:t>
            </w:r>
          </w:p>
        </w:tc>
        <w:tc>
          <w:tcPr>
            <w:tcW w:type="dxa" w:w="4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Réseau HEC et alumni, LinkedIn par douleur, parrainage, puis avantages salariés (RH, CSE)</w:t>
            </w:r>
          </w:p>
        </w:tc>
        <w:tc>
          <w:tcPr>
            <w:tcW w:type="dxa" w:w="308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 B2B2C employeur devient un canal structuré, pas un partenariat vague</w:t>
            </w:r>
          </w:p>
        </w:tc>
      </w:tr>
      <w:tr>
        <w:tc>
          <w:tcPr>
            <w:tcW w:type="dxa" w:w="13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Relation client</w:t>
            </w:r>
          </w:p>
        </w:tc>
        <w:tc>
          <w:tcPr>
            <w:tcW w:type="dxa" w:w="4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Onboarding en 10 minutes, briefing quotidien, écran de validation en un geste, journal des actions, support humain pour les incidents</w:t>
            </w:r>
          </w:p>
        </w:tc>
        <w:tc>
          <w:tcPr>
            <w:tcW w:type="dxa" w:w="308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 journal devient un argument commercial, pas seulement une obligation</w:t>
            </w:r>
          </w:p>
        </w:tc>
      </w:tr>
      <w:tr>
        <w:tc>
          <w:tcPr>
            <w:tcW w:type="dxa" w:w="13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Revenus</w:t>
            </w:r>
          </w:p>
        </w:tc>
        <w:tc>
          <w:tcPr>
            <w:tcW w:type="dxa" w:w="4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Abonnements mensuels sans engagement : Personal 29 €, Premium 79 €, Family 129 € TTC ; option annuelle à −15 % ; commissions tierces transparentes exclues du MVP</w:t>
            </w:r>
          </w:p>
        </w:tc>
        <w:tc>
          <w:tcPr>
            <w:tcW w:type="dxa" w:w="308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Prépaiement annuel ajouté pour la trésorerie et le churn (hypothèse à tester)</w:t>
            </w:r>
          </w:p>
        </w:tc>
      </w:tr>
      <w:tr>
        <w:tc>
          <w:tcPr>
            <w:tcW w:type="dxa" w:w="13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Ressources clés</w:t>
            </w:r>
          </w:p>
        </w:tc>
        <w:tc>
          <w:tcPr>
            <w:tcW w:type="dxa" w:w="4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Orchestration IA multi-modèles, mémoire personnelle chiffrée, connecteurs Google (Gmail, Agenda, Drive), application, marque de confiance, conformité (AIPD, charte agents)</w:t>
            </w:r>
          </w:p>
        </w:tc>
        <w:tc>
          <w:tcPr>
            <w:tcW w:type="dxa" w:w="308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La vérification Google (scopes restreints, évaluation CASA) est une ressource critique et un délai</w:t>
            </w:r>
          </w:p>
        </w:tc>
      </w:tr>
      <w:tr>
        <w:tc>
          <w:tcPr>
            <w:tcW w:type="dxa" w:w="13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Activités clés</w:t>
            </w:r>
          </w:p>
        </w:tc>
        <w:tc>
          <w:tcPr>
            <w:tcW w:type="dxa" w:w="4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Fiabilité des 10 missions, mesure du coût par mission, sécurité, acquisition par cohortes, support</w:t>
            </w:r>
          </w:p>
        </w:tc>
        <w:tc>
          <w:tcPr>
            <w:tcW w:type="dxa" w:w="308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La mesure du coût par mission devient une activité permanente</w:t>
            </w:r>
          </w:p>
        </w:tc>
      </w:tr>
      <w:tr>
        <w:tc>
          <w:tcPr>
            <w:tcW w:type="dxa" w:w="13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Partenaires</w:t>
            </w:r>
          </w:p>
        </w:tc>
        <w:tc>
          <w:tcPr>
            <w:tcW w:type="dxa" w:w="4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Fournisseurs de modèles (routage entre fournisseurs), hébergeur européen, plateformes de réservation en ligne, prestataire de paiement, incubateur HEC</w:t>
            </w:r>
          </w:p>
        </w:tc>
        <w:tc>
          <w:tcPr>
            <w:tcW w:type="dxa" w:w="308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Aucun partenariat n'est présumé signé</w:t>
            </w:r>
          </w:p>
        </w:tc>
      </w:tr>
      <w:tr>
        <w:tc>
          <w:tcPr>
            <w:tcW w:type="dxa" w:w="13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Coûts</w:t>
            </w:r>
          </w:p>
        </w:tc>
        <w:tc>
          <w:tcPr>
            <w:tcW w:type="dxa" w:w="499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Inférence IA (variable), hébergement, support, acquisition, salaires à partir de M13, MVP externe 77 k€, conformité et audit annuel</w:t>
            </w:r>
          </w:p>
        </w:tc>
        <w:tc>
          <w:tcPr>
            <w:tcW w:type="dxa" w:w="308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Les fondateurs ne sont pas rémunérés pendant 12 mois (hypothèse Finance)</w:t>
            </w:r>
          </w:p>
        </w:tc>
      </w:tr>
    </w:tbl>
    <w:p>
      <w:pPr>
        <w:spacing w:after="40"/>
      </w:pPr>
    </w:p>
    <w:p>
      <w:pPr>
        <w:pStyle w:val="Heading2"/>
      </w:pPr>
      <w:r>
        <w:t>5.2 Position de prix (module 09)</w:t>
      </w:r>
    </w:p>
    <w:tbl>
      <w:tblPr>
        <w:tblW w:type="auto" w:w="0"/>
        <w:jc w:val="center"/>
        <w:tblLayout w:type="fixed"/>
        <w:tblLook w:firstColumn="1" w:firstRow="1" w:lastColumn="0" w:lastRow="0" w:noHBand="0" w:noVBand="1" w:val="04A0"/>
      </w:tblPr>
      <w:tblGrid>
        <w:gridCol w:w="1714"/>
        <w:gridCol w:w="5607"/>
        <w:gridCol w:w="2092"/>
      </w:tblGrid>
      <w:tr>
        <w:tc>
          <w:tcPr>
            <w:tcW w:type="dxa" w:w="171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Ancre</w:t>
            </w:r>
          </w:p>
        </w:tc>
        <w:tc>
          <w:tcPr>
            <w:tcW w:type="dxa" w:w="560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Valeur</w:t>
            </w:r>
          </w:p>
        </w:tc>
        <w:tc>
          <w:tcPr>
            <w:tcW w:type="dxa" w:w="209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Nature</w:t>
            </w:r>
          </w:p>
        </w:tc>
      </w:tr>
      <w:tr>
        <w:tc>
          <w:tcPr>
            <w:tcW w:type="dxa" w:w="17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Plancher de coût, Premium</w:t>
            </w:r>
          </w:p>
        </w:tc>
        <w:tc>
          <w:tcPr>
            <w:tcW w:type="dxa" w:w="5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15 à 18 € HT de coût variable, plus 4 à 5 € de CAC amorti sur la durée de vie : environ 22 € HT soit 26 € TTC, hors coûts fixes</w:t>
            </w:r>
          </w:p>
        </w:tc>
        <w:tc>
          <w:tcPr>
            <w:tcW w:type="dxa" w:w="2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Estimation (modèle financier, scénario central)</w:t>
            </w:r>
          </w:p>
        </w:tc>
      </w:tr>
      <w:tr>
        <w:tc>
          <w:tcPr>
            <w:tcW w:type="dxa" w:w="17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Plafond de valeur</w:t>
            </w:r>
          </w:p>
        </w:tc>
        <w:tc>
          <w:tcPr>
            <w:tcW w:type="dxa" w:w="5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Si 2 heures par semaine sont réellement gagnées, à 25 à 50 € de valeur horaire nette d'un cadre (salaire net moyen 4 630 €) : 200 à 400 € par mois. Référence externe : conciergerie privée 250 à 600 € par mois ; Yohana a échoué à 249 $ avec des humains</w:t>
            </w:r>
          </w:p>
        </w:tc>
        <w:tc>
          <w:tcPr>
            <w:tcW w:type="dxa" w:w="2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Estimation ; le temps gagné n'est pas mesuré</w:t>
            </w:r>
          </w:p>
        </w:tc>
      </w:tr>
      <w:tr>
        <w:tc>
          <w:tcPr>
            <w:tcW w:type="dxa" w:w="17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Prix de référence</w:t>
            </w:r>
          </w:p>
        </w:tc>
        <w:tc>
          <w:tcPr>
            <w:tcW w:type="dxa" w:w="5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18 à 23 € TTC par mois : ChatGPT Plus 22,99 €, Gemini AI Pro 21,99 €, Claude Pro ≈ 21 €, Le Chat Pro 17,99 €</w:t>
            </w:r>
          </w:p>
        </w:tc>
        <w:tc>
          <w:tcPr>
            <w:tcW w:type="dxa" w:w="2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Fait (pages tarifaires, octobre 2026)</w:t>
            </w:r>
          </w:p>
        </w:tc>
      </w:tr>
      <w:tr>
        <w:tc>
          <w:tcPr>
            <w:tcW w:type="dxa" w:w="17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Prix choisi</w:t>
            </w:r>
          </w:p>
        </w:tc>
        <w:tc>
          <w:tcPr>
            <w:tcW w:type="dxa" w:w="5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79 € TTC Premium, 29 € Personal, 129 € Family</w:t>
            </w:r>
          </w:p>
        </w:tc>
        <w:tc>
          <w:tcPr>
            <w:tcW w:type="dxa" w:w="2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Hypothèse H01, à tester à 59 / 79 / 99 €</w:t>
            </w:r>
          </w:p>
        </w:tc>
      </w:tr>
      <w:tr>
        <w:tc>
          <w:tcPr>
            <w:tcW w:type="dxa" w:w="17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Métrique</w:t>
            </w:r>
          </w:p>
        </w:tc>
        <w:tc>
          <w:tcPr>
            <w:tcW w:type="dxa" w:w="5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Par foyer et par mois, avec une limite d'usage raisonnable (100 missions par mois en Premium), jamais à la tâche</w:t>
            </w:r>
          </w:p>
        </w:tc>
        <w:tc>
          <w:tcPr>
            <w:tcW w:type="dxa" w:w="2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Proposition : aligne le revenu sur la valeur et protège le plancher</w:t>
            </w:r>
          </w:p>
        </w:tc>
      </w:tr>
      <w:tr>
        <w:tc>
          <w:tcPr>
            <w:tcW w:type="dxa" w:w="17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Structure</w:t>
            </w:r>
          </w:p>
        </w:tc>
        <w:tc>
          <w:tcPr>
            <w:tcW w:type="dxa" w:w="5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Mensuel sans engagement ; annuel à −15 % ; pilote au prix public avec 14 jours satisfait ou remboursé</w:t>
            </w:r>
          </w:p>
        </w:tc>
        <w:tc>
          <w:tcPr>
            <w:tcW w:type="dxa" w:w="2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Proposition</w:t>
            </w:r>
          </w:p>
        </w:tc>
      </w:tr>
      <w:tr>
        <w:tc>
          <w:tcPr>
            <w:tcW w:type="dxa" w:w="17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Réponse concurrentielle</w:t>
            </w:r>
          </w:p>
        </w:tc>
        <w:tc>
          <w:tcPr>
            <w:tcW w:type="dxa" w:w="5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Si un généraliste lance une offre « vie personnelle » à 30 € : tenir le prix, déplacer l'argument sur le mandat, le journal et le foyer ; activer le canal employeur</w:t>
            </w:r>
          </w:p>
        </w:tc>
        <w:tc>
          <w:tcPr>
            <w:tcW w:type="dxa" w:w="2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Scénario</w:t>
            </w:r>
          </w:p>
        </w:tc>
      </w:tr>
      <w:tr>
        <w:tc>
          <w:tcPr>
            <w:tcW w:type="dxa" w:w="171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Prix de retrait</w:t>
            </w:r>
          </w:p>
        </w:tc>
        <w:tc>
          <w:tcPr>
            <w:tcW w:type="dxa" w:w="56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Ne pas tester sous 59 € TTC : la contribution Premium tombe sous 32 € et le payback dépasse 5 mois à CAC 150 €</w:t>
            </w:r>
          </w:p>
        </w:tc>
        <w:tc>
          <w:tcPr>
            <w:tcW w:type="dxa" w:w="209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Calcul (modèle)</w:t>
            </w:r>
          </w:p>
        </w:tc>
      </w:tr>
    </w:tbl>
    <w:p>
      <w:pPr>
        <w:spacing w:after="40"/>
      </w:pPr>
    </w:p>
    <w:p>
      <w:r>
        <w:t>Le danger est l'ancre à 20 €. Le client doit lire « une conciergerie à prix d'abonnement », jamais « un ChatGPT cher ». Cela se gagne par la démonstration d'une mission exécutée de bout en bout, pas par un argumentaire.</w:t>
      </w:r>
    </w:p>
    <w:p>
      <w:pPr>
        <w:pStyle w:val="Heading2"/>
      </w:pPr>
      <w:r>
        <w:t>5.3 Économie unitaire (scénario central, modèle financier V1)</w:t>
      </w:r>
    </w:p>
    <w:tbl>
      <w:tblPr>
        <w:tblW w:type="auto" w:w="0"/>
        <w:jc w:val="center"/>
        <w:tblLayout w:type="fixed"/>
        <w:tblLook w:firstColumn="1" w:firstRow="1" w:lastColumn="0" w:lastRow="0" w:noHBand="0" w:noVBand="1" w:val="04A0"/>
      </w:tblPr>
      <w:tblGrid>
        <w:gridCol w:w="3432"/>
        <w:gridCol w:w="1993"/>
        <w:gridCol w:w="1993"/>
        <w:gridCol w:w="1993"/>
      </w:tblGrid>
      <w:tr>
        <w:tc>
          <w:tcPr>
            <w:tcW w:type="dxa" w:w="3432"/>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Ligne, par abonné et par mois</w:t>
            </w:r>
          </w:p>
        </w:tc>
        <w:tc>
          <w:tcPr>
            <w:tcW w:type="dxa" w:w="199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Personal</w:t>
            </w:r>
          </w:p>
        </w:tc>
        <w:tc>
          <w:tcPr>
            <w:tcW w:type="dxa" w:w="199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Premium</w:t>
            </w:r>
          </w:p>
        </w:tc>
        <w:tc>
          <w:tcPr>
            <w:tcW w:type="dxa" w:w="199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Family</w:t>
            </w:r>
          </w:p>
        </w:tc>
      </w:tr>
      <w:tr>
        <w:tc>
          <w:tcPr>
            <w:tcW w:type="dxa" w:w="34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Prix HT</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24,17 €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65,83 €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107,50 €</w:t>
            </w:r>
          </w:p>
        </w:tc>
      </w:tr>
      <w:tr>
        <w:tc>
          <w:tcPr>
            <w:tcW w:type="dxa" w:w="34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Missions par mois (hypothèse)</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20</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60</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90</w:t>
            </w:r>
          </w:p>
        </w:tc>
      </w:tr>
      <w:tr>
        <w:tc>
          <w:tcPr>
            <w:tcW w:type="dxa" w:w="34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Coût IA et outils à 0,18 € par mission</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3,60 €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10,80 €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16,20 €</w:t>
            </w:r>
          </w:p>
        </w:tc>
      </w:tr>
      <w:tr>
        <w:tc>
          <w:tcPr>
            <w:tcW w:type="dxa" w:w="34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Hébergement et support</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4,50 €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4,50 €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4,50 €</w:t>
            </w:r>
          </w:p>
        </w:tc>
      </w:tr>
      <w:tr>
        <w:tc>
          <w:tcPr>
            <w:tcW w:type="dxa" w:w="34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Frais de paiement et impayés</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0,92 €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2,08 €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3,24 €</w:t>
            </w:r>
          </w:p>
        </w:tc>
      </w:tr>
      <w:tr>
        <w:tc>
          <w:tcPr>
            <w:tcW w:type="dxa" w:w="34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Contribution</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15,1 €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48,4 €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83,6 €</w:t>
            </w:r>
          </w:p>
        </w:tc>
      </w:tr>
      <w:tr>
        <w:tc>
          <w:tcPr>
            <w:tcW w:type="dxa" w:w="34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Marge variable</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63 %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74 %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78 %</w:t>
            </w:r>
          </w:p>
        </w:tc>
      </w:tr>
      <w:tr>
        <w:tc>
          <w:tcPr>
            <w:tcW w:type="dxa" w:w="34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Payback du CAC à 150 €</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9,9 mois</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3,1 mois</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1,8 mois</w:t>
            </w:r>
          </w:p>
        </w:tc>
      </w:tr>
      <w:tr>
        <w:tc>
          <w:tcPr>
            <w:tcW w:type="dxa" w:w="3432"/>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LTV / CAC à 3 % de churn</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3,4x</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10,8x</w:t>
            </w:r>
          </w:p>
        </w:tc>
        <w:tc>
          <w:tcPr>
            <w:tcW w:type="dxa" w:w="199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18,6x</w:t>
            </w:r>
          </w:p>
        </w:tc>
      </w:tr>
    </w:tbl>
    <w:p>
      <w:pPr>
        <w:spacing w:after="40"/>
      </w:pPr>
    </w:p>
    <w:p>
      <w:r>
        <w:t>Lecture : l'offre Personal ne rembourse son CAC qu'en dix mois ; elle n'existe que comme porte d'entrée organique. L'offre Premium porte l'économie ; l'offre Family est la plus rentable mais exige le multi-profil, reporté après le pilote.</w:t>
      </w:r>
    </w:p>
    <w:p>
      <w:r>
        <w:t>Tous ces chiffres sont des estimations dérivées d'hypothèses non mesurées. Le coût par mission est la variable la plus fragile : à 0,30 € la contribution Premium tombe à 41 € ; à 0,50 € à 29 €.</w:t>
      </w:r>
    </w:p>
    <w:p>
      <w:pPr>
        <w:pStyle w:val="Heading2"/>
      </w:pPr>
      <w:r>
        <w:t>5.4 Trois scénarios à 36 mois</w:t>
      </w:r>
    </w:p>
    <w:tbl>
      <w:tblPr>
        <w:tblW w:type="auto" w:w="0"/>
        <w:jc w:val="center"/>
        <w:tblLayout w:type="fixed"/>
        <w:tblLook w:firstColumn="1" w:firstRow="1" w:lastColumn="0" w:lastRow="0" w:noHBand="0" w:noVBand="1" w:val="04A0"/>
      </w:tblPr>
      <w:tblGrid>
        <w:gridCol w:w="3789"/>
        <w:gridCol w:w="1874"/>
        <w:gridCol w:w="1874"/>
        <w:gridCol w:w="1874"/>
      </w:tblGrid>
      <w:tr>
        <w:tc>
          <w:tcPr>
            <w:tcW w:type="dxa" w:w="378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Indicateur</w:t>
            </w:r>
          </w:p>
        </w:tc>
        <w:tc>
          <w:tcPr>
            <w:tcW w:type="dxa" w:w="187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Prudent</w:t>
            </w:r>
          </w:p>
        </w:tc>
        <w:tc>
          <w:tcPr>
            <w:tcW w:type="dxa" w:w="187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Central</w:t>
            </w:r>
          </w:p>
        </w:tc>
        <w:tc>
          <w:tcPr>
            <w:tcW w:type="dxa" w:w="187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Ambitieux</w:t>
            </w:r>
          </w:p>
        </w:tc>
      </w:tr>
      <w:tr>
        <w:tc>
          <w:tcPr>
            <w:tcW w:type="dxa" w:w="37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Lancement commercial</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M10</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M7</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M6</w:t>
            </w:r>
          </w:p>
        </w:tc>
      </w:tr>
      <w:tr>
        <w:tc>
          <w:tcPr>
            <w:tcW w:type="dxa" w:w="37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Abonnés actifs fin A1 / A2 / A3</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30 / 246 / 593</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126 / 869 / 2 664</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264 / 1 573 / 4 300</w:t>
            </w:r>
          </w:p>
        </w:tc>
      </w:tr>
      <w:tr>
        <w:tc>
          <w:tcPr>
            <w:tcW w:type="dxa" w:w="37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CA HT A3</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323 k€</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1 376 k€</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2 410 k€</w:t>
            </w:r>
          </w:p>
        </w:tc>
      </w:tr>
      <w:tr>
        <w:tc>
          <w:tcPr>
            <w:tcW w:type="dxa" w:w="37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Point bas de trésorerie hors financement</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−497 k€ (M36)</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−130 k€ (M19)</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−62 k€ (M7)</w:t>
            </w:r>
          </w:p>
        </w:tc>
      </w:tr>
      <w:tr>
        <w:tc>
          <w:tcPr>
            <w:tcW w:type="dxa" w:w="37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Besoin de financement (point bas + réserve)</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557 k€</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170 k€</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92 k€</w:t>
            </w:r>
          </w:p>
        </w:tc>
      </w:tr>
      <w:tr>
        <w:tc>
          <w:tcPr>
            <w:tcW w:type="dxa" w:w="37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Premier mois d'EBITDA positif</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non atteint</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M12</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M9</w:t>
            </w:r>
          </w:p>
        </w:tc>
      </w:tr>
      <w:tr>
        <w:tc>
          <w:tcPr>
            <w:tcW w:type="dxa" w:w="378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Trésorerie cumulée hors financement fin A3</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−497 k€</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+464 k€</w:t>
            </w:r>
          </w:p>
        </w:tc>
        <w:tc>
          <w:tcPr>
            <w:tcW w:type="dxa" w:w="187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+1,8 M€</w:t>
            </w:r>
          </w:p>
        </w:tc>
      </w:tr>
    </w:tbl>
    <w:p>
      <w:pPr>
        <w:spacing w:after="40"/>
      </w:pPr>
    </w:p>
    <w:p>
      <w:r>
        <w:t>Le scénario prudent (lancement M10, CAC 240 €, churn 6 %, coût par mission 0,30 €) ne revient jamais à l'équilibre sur 36 mois. Ce n'est pas un scénario catastrophe : ce sont les valeurs des benchmarks B2C quand rien n'est prouvé (ProfitWell 6,9 % de churn mensuel sur l'ARPU 25 à 50 $, CPI 4,70 $ pour 2 % de conversion). Un churn de type app store (8 %) retirerait encore 390 k€ de trésorerie à trois ans. Le scénario central est cohérent avec la trajectoire Finance V3 (150 / 800 / 2 500 abonnés). Sensibilités : le CAC et le prix dominent le besoin de financement ; le churn et le coût IA dominent la valeur à trois ans (onglet Tornade du modèle).</w:t>
      </w:r>
    </w:p>
    <w:p>
      <w:r>
        <w:br w:type="page"/>
      </w:r>
    </w:p>
    <w:p>
      <w:pPr>
        <w:pStyle w:val="Heading1"/>
        <w:pBdr>
          <w:bottom w:val="single" w:sz="10" w:space="4" w:color="F0916A"/>
        </w:pBdr>
      </w:pPr>
      <w:r>
        <w:t>6. Options stratégiques (module 08)</w:t>
      </w:r>
    </w:p>
    <w:p>
      <w:r>
        <w:t>Critères, pondérés avant notation : délai jusqu'à la preuve (30 %), CAC et accès au marché (25 %), marge unitaire (20 %), contrôle de la marque et des données (15 %), réversibilité (10 %).</w:t>
      </w:r>
    </w:p>
    <w:tbl>
      <w:tblPr>
        <w:tblW w:type="auto" w:w="0"/>
        <w:jc w:val="center"/>
        <w:tblLayout w:type="fixed"/>
        <w:tblLook w:firstColumn="1" w:firstRow="1" w:lastColumn="0" w:lastRow="0" w:noHBand="0" w:noVBand="1" w:val="04A0"/>
      </w:tblPr>
      <w:tblGrid>
        <w:gridCol w:w="1575"/>
        <w:gridCol w:w="2709"/>
        <w:gridCol w:w="1526"/>
        <w:gridCol w:w="1584"/>
        <w:gridCol w:w="1190"/>
        <w:gridCol w:w="828"/>
      </w:tblGrid>
      <w:tr>
        <w:tc>
          <w:tcPr>
            <w:tcW w:type="dxa" w:w="157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Option</w:t>
            </w:r>
          </w:p>
        </w:tc>
        <w:tc>
          <w:tcPr>
            <w:tcW w:type="dxa" w:w="270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Logique structurelle</w:t>
            </w:r>
          </w:p>
        </w:tc>
        <w:tc>
          <w:tcPr>
            <w:tcW w:type="dxa" w:w="152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Ce qu'elle engage</w:t>
            </w:r>
          </w:p>
        </w:tc>
        <w:tc>
          <w:tcPr>
            <w:tcW w:type="dxa" w:w="158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Ce qu'elle ferme</w:t>
            </w:r>
          </w:p>
        </w:tc>
        <w:tc>
          <w:tcPr>
            <w:tcW w:type="dxa" w:w="119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Coût de retour</w:t>
            </w:r>
          </w:p>
        </w:tc>
        <w:tc>
          <w:tcPr>
            <w:tcW w:type="dxa" w:w="82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Score</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 Majordome premium B2C (proposée)</w:t>
            </w:r>
          </w:p>
        </w:tc>
        <w:tc>
          <w:tcPr>
            <w:tcW w:type="dxa" w:w="27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Marque directe, abonnement, acquisition par réseau et parrainage</w:t>
            </w:r>
          </w:p>
        </w:tc>
        <w:tc>
          <w:tcPr>
            <w:tcW w:type="dxa" w:w="15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Le MVP et 170 k€ sur 18 mois</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Peu, avant le lancement</w:t>
            </w:r>
          </w:p>
        </w:tc>
        <w:tc>
          <w:tcPr>
            <w:tcW w:type="dxa" w:w="11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Faible jusqu'au lancement, élevé après</w:t>
            </w:r>
          </w:p>
        </w:tc>
        <w:tc>
          <w:tcPr>
            <w:tcW w:type="dxa" w:w="8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4,0</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B. Avantage salarié d'abord (B2B2C)</w:t>
            </w:r>
          </w:p>
        </w:tc>
        <w:tc>
          <w:tcPr>
            <w:tcW w:type="dxa" w:w="27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L'employeur paie 15 à 25 € par salarié et par mois, le salarié active ; CAC proche de zéro, cycles de vente longs</w:t>
            </w:r>
          </w:p>
        </w:tc>
        <w:tc>
          <w:tcPr>
            <w:tcW w:type="dxa" w:w="15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Une vente RH et une séparation stricte employeur / salarié</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La relation directe et le mix Family</w:t>
            </w:r>
          </w:p>
        </w:tc>
        <w:tc>
          <w:tcPr>
            <w:tcW w:type="dxa" w:w="11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Moyen</w:t>
            </w:r>
          </w:p>
        </w:tc>
        <w:tc>
          <w:tcPr>
            <w:tcW w:type="dxa" w:w="8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3,5</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 Organiseur « démarches et échéances » à 29 €</w:t>
            </w:r>
          </w:p>
        </w:tc>
        <w:tc>
          <w:tcPr>
            <w:tcW w:type="dxa" w:w="27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Volume, acquisition organique, missions limitées</w:t>
            </w:r>
          </w:p>
        </w:tc>
        <w:tc>
          <w:tcPr>
            <w:tcW w:type="dxa" w:w="15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Une bataille de prix avec les généralistes</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Le positionnement premium</w:t>
            </w:r>
          </w:p>
        </w:tc>
        <w:tc>
          <w:tcPr>
            <w:tcW w:type="dxa" w:w="11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Élevé (marque)</w:t>
            </w:r>
          </w:p>
        </w:tc>
        <w:tc>
          <w:tcPr>
            <w:tcW w:type="dxa" w:w="8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2,4</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 Arrêt après HEC</w:t>
            </w:r>
          </w:p>
        </w:tc>
        <w:tc>
          <w:tcPr>
            <w:tcW w:type="dxa" w:w="27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Livrable pédagogique, archivage du dépôt</w:t>
            </w:r>
          </w:p>
        </w:tc>
        <w:tc>
          <w:tcPr>
            <w:tcW w:type="dxa" w:w="15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Rien</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Rien</w:t>
            </w:r>
          </w:p>
        </w:tc>
        <w:tc>
          <w:tcPr>
            <w:tcW w:type="dxa" w:w="11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Nul</w:t>
            </w:r>
          </w:p>
        </w:tc>
        <w:tc>
          <w:tcPr>
            <w:tcW w:type="dxa" w:w="8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2,0</w:t>
            </w:r>
          </w:p>
        </w:tc>
      </w:tr>
      <w:tr>
        <w:tc>
          <w:tcPr>
            <w:tcW w:type="dxa" w:w="157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E. Moteur d'exécution en marque blanche (non proposée)</w:t>
            </w:r>
          </w:p>
        </w:tc>
        <w:tc>
          <w:tcPr>
            <w:tcW w:type="dxa" w:w="270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Vendre la couche d'exécution sous contrôle à des conciergeries, assureurs ou cartes premium qui ont déjà la clientèle</w:t>
            </w:r>
          </w:p>
        </w:tc>
        <w:tc>
          <w:tcPr>
            <w:tcW w:type="dxa" w:w="15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Un développement B2B et une dépendance</w:t>
            </w:r>
          </w:p>
        </w:tc>
        <w:tc>
          <w:tcPr>
            <w:tcW w:type="dxa" w:w="158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La marque grand public et la mémoire du foyer</w:t>
            </w:r>
          </w:p>
        </w:tc>
        <w:tc>
          <w:tcPr>
            <w:tcW w:type="dxa" w:w="11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Moyen</w:t>
            </w:r>
          </w:p>
        </w:tc>
        <w:tc>
          <w:tcPr>
            <w:tcW w:type="dxa" w:w="82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3,2</w:t>
            </w:r>
          </w:p>
        </w:tc>
      </w:tr>
    </w:tbl>
    <w:p>
      <w:pPr>
        <w:spacing w:after="40"/>
      </w:pPr>
    </w:p>
    <w:p>
      <w:r>
        <w:rPr>
          <w:b/>
        </w:rPr>
        <w:t>Recommandation : A, avec B conçue comme repli et E comme piste de partenariat en année 2.</w:t>
      </w:r>
      <w:r>
        <w:t xml:space="preserve"> L'option B est la finaliste : elle a le meilleur CAC et un acheteur solvable, mais elle perd sur le délai jusqu'à la preuve (un cycle RH dure six à neuf mois) et sur le contrôle des données, puisque l'employeur ne doit rien voir. Elle devient la voie principale si, au jour 90, le CAC B2C dépasse 240 € ou si le consentement à payer est sous 59 €. La valeur d'option est là : la porte d'évidence achète l'information qui départage A et B pour moins de 15 k€.</w:t>
      </w:r>
    </w:p>
    <w:p>
      <w:r>
        <w:br w:type="page"/>
      </w:r>
    </w:p>
    <w:p>
      <w:pPr>
        <w:pStyle w:val="Heading1"/>
        <w:pBdr>
          <w:bottom w:val="single" w:sz="10" w:space="4" w:color="F0916A"/>
        </w:pBdr>
      </w:pPr>
      <w:r>
        <w:t>7. Comment Helium gagne : méthodes de succès</w:t>
      </w:r>
    </w:p>
    <w:p>
      <w:pPr>
        <w:spacing w:after="60"/>
        <w:ind w:left="425" w:hanging="425"/>
      </w:pPr>
      <w:r>
        <w:rPr>
          <w:b/>
        </w:rPr>
        <w:t>1.</w:t>
        <w:tab/>
      </w:r>
      <w:r>
        <w:rPr>
          <w:b/>
        </w:rPr>
        <w:t>La preuve avant la dépense.</w:t>
      </w:r>
      <w:r>
        <w:t xml:space="preserve"> Aucun euro d'acquisition avant que trente entretiens et un prototype aient donné un prix et un coût. La discipline est la première méthode.</w:t>
      </w:r>
    </w:p>
    <w:p>
      <w:pPr>
        <w:spacing w:after="60"/>
        <w:ind w:left="425" w:hanging="425"/>
      </w:pPr>
      <w:r>
        <w:rPr>
          <w:b/>
        </w:rPr>
        <w:t>2.</w:t>
        <w:tab/>
      </w:r>
      <w:r>
        <w:rPr>
          <w:b/>
        </w:rPr>
        <w:t>Le pilote payant dès le premier jour.</w:t>
      </w:r>
      <w:r>
        <w:t xml:space="preserve"> Pas d'essai gratuit pendant le pilote : dix foyers qui paient 79 € disent plus que cent inscrits.</w:t>
      </w:r>
    </w:p>
    <w:p>
      <w:pPr>
        <w:spacing w:after="60"/>
        <w:ind w:left="425" w:hanging="425"/>
      </w:pPr>
      <w:r>
        <w:rPr>
          <w:b/>
        </w:rPr>
        <w:t>3.</w:t>
        <w:tab/>
      </w:r>
      <w:r>
        <w:rPr>
          <w:b/>
        </w:rPr>
        <w:t>La sécurité comme critère éliminatoire.</w:t>
      </w:r>
      <w:r>
        <w:t xml:space="preserve"> Une action exécutée sans autorisation arrête le pilote. C'est ce qui rend la promesse crédible et c'est ce que les généralistes ne peuvent pas promettre à l'échelle.</w:t>
      </w:r>
    </w:p>
    <w:p>
      <w:pPr>
        <w:spacing w:after="60"/>
        <w:ind w:left="425" w:hanging="425"/>
      </w:pPr>
      <w:r>
        <w:rPr>
          <w:b/>
        </w:rPr>
        <w:t>4.</w:t>
        <w:tab/>
      </w:r>
      <w:r>
        <w:rPr>
          <w:b/>
        </w:rPr>
        <w:t>Dix missions fiables plutôt qu'un agent universel.</w:t>
      </w:r>
      <w:r>
        <w:t xml:space="preserve"> Le périmètre étroit est la condition de la fiabilité à 80 % et du coût à 18 €.</w:t>
      </w:r>
    </w:p>
    <w:p>
      <w:pPr>
        <w:spacing w:after="60"/>
        <w:ind w:left="425" w:hanging="425"/>
      </w:pPr>
      <w:r>
        <w:rPr>
          <w:b/>
        </w:rPr>
        <w:t>5.</w:t>
        <w:tab/>
      </w:r>
      <w:r>
        <w:rPr>
          <w:b/>
        </w:rPr>
        <w:t>La mémoire du foyer comme coût de changement.</w:t>
      </w:r>
      <w:r>
        <w:t xml:space="preserve"> Préférences, personnes, lieux, habitudes : au bout de trois mois, partir coûte au client ce qu'il a appris à Helium. C'est l'actif défensif.</w:t>
      </w:r>
    </w:p>
    <w:p>
      <w:pPr>
        <w:spacing w:after="60"/>
        <w:ind w:left="425" w:hanging="425"/>
      </w:pPr>
      <w:r>
        <w:rPr>
          <w:b/>
        </w:rPr>
        <w:t>6.</w:t>
        <w:tab/>
      </w:r>
      <w:r>
        <w:rPr>
          <w:b/>
        </w:rPr>
        <w:t>Un canal qui commence là où l'équipe est.</w:t>
      </w:r>
      <w:r>
        <w:t xml:space="preserve"> HEC, alumni, LinkedIn par douleur, parrainage (un mois offert des deux côtés), puis deux pilotes employeurs. CAC cible sous 150 €, canal arrêté au-delà de 240 €.</w:t>
      </w:r>
    </w:p>
    <w:p>
      <w:pPr>
        <w:spacing w:after="60"/>
        <w:ind w:left="425" w:hanging="425"/>
      </w:pPr>
      <w:r>
        <w:rPr>
          <w:b/>
        </w:rPr>
        <w:t>7.</w:t>
        <w:tab/>
      </w:r>
      <w:r>
        <w:rPr>
          <w:b/>
        </w:rPr>
        <w:t>Le coût par mission comme discipline d'ingénierie.</w:t>
      </w:r>
      <w:r>
        <w:t xml:space="preserve"> Routage entre modèles, budget de missions par utilisateur, mesure hebdomadaire. Le coût IA est une variable de conception, pas une fatalité.</w:t>
      </w:r>
    </w:p>
    <w:p>
      <w:pPr>
        <w:spacing w:after="60"/>
        <w:ind w:left="425" w:hanging="425"/>
      </w:pPr>
      <w:r>
        <w:rPr>
          <w:b/>
        </w:rPr>
        <w:t>8.</w:t>
        <w:tab/>
      </w:r>
      <w:r>
        <w:rPr>
          <w:b/>
        </w:rPr>
        <w:t>La conformité comme argument.</w:t>
      </w:r>
      <w:r>
        <w:t xml:space="preserve"> AIPD avant lancement, charte d'exécution des agents, hébergement européen quand c'est possible, transparence IA : pour la cible, c'est de la valeur, pas de la contrainte.</w:t>
      </w:r>
    </w:p>
    <w:p>
      <w:pPr>
        <w:spacing w:after="60"/>
        <w:ind w:left="425" w:hanging="425"/>
      </w:pPr>
      <w:r>
        <w:rPr>
          <w:b/>
        </w:rPr>
        <w:t>9.</w:t>
        <w:tab/>
      </w:r>
      <w:r>
        <w:rPr>
          <w:b/>
        </w:rPr>
        <w:t>Une cadence de décision.</w:t>
      </w:r>
      <w:r>
        <w:t xml:space="preserve"> Hebdomadaire sur les leads, pilotes, incidents ; mensuelle sur CAC, churn, marge ; un go ou stop écrit au registre au jour 90.</w:t>
      </w:r>
    </w:p>
    <w:p>
      <w:pPr>
        <w:pStyle w:val="Heading2"/>
      </w:pPr>
      <w:r>
        <w:t>Avantage sur les concurrents</w:t>
      </w:r>
    </w:p>
    <w:tbl>
      <w:tblPr>
        <w:tblW w:type="auto" w:w="0"/>
        <w:jc w:val="center"/>
        <w:tblLayout w:type="fixed"/>
        <w:tblLook w:firstColumn="1" w:firstRow="1" w:lastColumn="0" w:lastRow="0" w:noHBand="0" w:noVBand="1" w:val="04A0"/>
      </w:tblPr>
      <w:tblGrid>
        <w:gridCol w:w="1883"/>
        <w:gridCol w:w="4147"/>
        <w:gridCol w:w="3383"/>
      </w:tblGrid>
      <w:tr>
        <w:tc>
          <w:tcPr>
            <w:tcW w:type="dxa" w:w="188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Face à</w:t>
            </w:r>
          </w:p>
        </w:tc>
        <w:tc>
          <w:tcPr>
            <w:tcW w:type="dxa" w:w="414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Leur contrainte structurelle</w:t>
            </w:r>
          </w:p>
        </w:tc>
        <w:tc>
          <w:tcPr>
            <w:tcW w:type="dxa" w:w="338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L'asymétrie Helium</w:t>
            </w:r>
          </w:p>
        </w:tc>
      </w:tr>
      <w:tr>
        <w:tc>
          <w:tcPr>
            <w:tcW w:type="dxa" w:w="1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Assistants généralistes (ChatGPT, Gemini, Claude, Copilot, Le Chat)</w:t>
            </w:r>
          </w:p>
        </w:tc>
        <w:tc>
          <w:tcPr>
            <w:tcW w:type="dxa" w:w="414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Produits mondiaux, horizontaux, qui ne peuvent pas prendre un mandat juridique par action ni garantir la séparation des sphères d'un foyer ; prix ancré à 20 € ; agents proactifs retenus hors de l'EEE par les contraintes européennes (octobre 2026)</w:t>
            </w:r>
          </w:p>
        </w:tc>
        <w:tc>
          <w:tcPr>
            <w:tcW w:type="dxa" w:w="33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Mandat explicite, journal opposable, foyer multi-profils, conformité France, marque de confiance, et douze à vingt-quatre mois d'avance</w:t>
            </w:r>
          </w:p>
        </w:tc>
      </w:tr>
      <w:tr>
        <w:tc>
          <w:tcPr>
            <w:tcW w:type="dxa" w:w="1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Conciergeries humaines</w:t>
            </w:r>
          </w:p>
        </w:tc>
        <w:tc>
          <w:tcPr>
            <w:tcW w:type="dxa" w:w="414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Coût humain, capacité limitée, horaires, pas de mémoire structurée</w:t>
            </w:r>
          </w:p>
        </w:tc>
        <w:tc>
          <w:tcPr>
            <w:tcW w:type="dxa" w:w="33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Prix divisé par quatre, disponibilité, traçabilité, et un partenariat possible comme couche d'exécution</w:t>
            </w:r>
          </w:p>
        </w:tc>
      </w:tr>
      <w:tr>
        <w:tc>
          <w:tcPr>
            <w:tcW w:type="dxa" w:w="1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Applications d'organisation familiale</w:t>
            </w:r>
          </w:p>
        </w:tc>
        <w:tc>
          <w:tcPr>
            <w:tcW w:type="dxa" w:w="414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Organisent, n'exécutent rien ; modèle gratuit ou à 5 €</w:t>
            </w:r>
          </w:p>
        </w:tc>
        <w:tc>
          <w:tcPr>
            <w:tcW w:type="dxa" w:w="33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Exécution réelle, et un prix qui finance la fiabilité</w:t>
            </w:r>
          </w:p>
        </w:tc>
      </w:tr>
      <w:tr>
        <w:tc>
          <w:tcPr>
            <w:tcW w:type="dxa" w:w="18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Assistants IA personnels spécialisés (startups)</w:t>
            </w:r>
          </w:p>
        </w:tc>
        <w:tc>
          <w:tcPr>
            <w:tcW w:type="dxa" w:w="414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Anglophones, orientés productivité professionnelle, données hors UE ; les modèles avec humains (Yohana, Milo) ont fermé</w:t>
            </w:r>
          </w:p>
        </w:tc>
        <w:tc>
          <w:tcPr>
            <w:tcW w:type="dxa" w:w="338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Vie personnelle et foyer, français, 100 % IA, hébergement et gouvernance européens</w:t>
            </w:r>
          </w:p>
        </w:tc>
      </w:tr>
    </w:tbl>
    <w:p>
      <w:pPr>
        <w:spacing w:after="40"/>
      </w:pPr>
    </w:p>
    <w:p>
      <w:r>
        <w:br w:type="page"/>
      </w:r>
    </w:p>
    <w:p>
      <w:pPr>
        <w:pStyle w:val="Heading1"/>
        <w:pBdr>
          <w:bottom w:val="single" w:sz="10" w:space="4" w:color="F0916A"/>
        </w:pBdr>
      </w:pPr>
      <w:r>
        <w:t>8. Plan à 90 jours et portes de décision</w:t>
      </w:r>
    </w:p>
    <w:p>
      <w:r>
        <w:t>Hypothèse de calendrier : J0 le lundi 3 novembre 2026 ; J+30 le 3 décembre ; J+60 le 2 janvier 2027 ; J+90 le 1er février 2027. Les fêtes de fin d'année tombent entre J+45 et J+60 : prévoir les entretiens avant le 19 décembre.</w:t>
      </w:r>
    </w:p>
    <w:tbl>
      <w:tblPr>
        <w:tblW w:type="auto" w:w="0"/>
        <w:jc w:val="center"/>
        <w:tblLayout w:type="fixed"/>
        <w:tblLook w:firstColumn="1" w:firstRow="1" w:lastColumn="0" w:lastRow="0" w:noHBand="0" w:noVBand="1" w:val="04A0"/>
      </w:tblPr>
      <w:tblGrid>
        <w:gridCol w:w="1039"/>
        <w:gridCol w:w="4229"/>
        <w:gridCol w:w="1436"/>
        <w:gridCol w:w="2707"/>
      </w:tblGrid>
      <w:tr>
        <w:tc>
          <w:tcPr>
            <w:tcW w:type="dxa" w:w="103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Phase</w:t>
            </w:r>
          </w:p>
        </w:tc>
        <w:tc>
          <w:tcPr>
            <w:tcW w:type="dxa" w:w="4229"/>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Livrables de preuve</w:t>
            </w:r>
          </w:p>
        </w:tc>
        <w:tc>
          <w:tcPr>
            <w:tcW w:type="dxa" w:w="143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Coût (estimation)</w:t>
            </w:r>
          </w:p>
        </w:tc>
        <w:tc>
          <w:tcPr>
            <w:tcW w:type="dxa" w:w="270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Porte</w:t>
            </w:r>
          </w:p>
        </w:tc>
      </w:tr>
      <w:tr>
        <w:tc>
          <w:tcPr>
            <w:tcW w:type="dxa" w:w="10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Phase 0, semaine 1</w:t>
            </w:r>
          </w:p>
        </w:tc>
        <w:tc>
          <w:tcPr>
            <w:tcW w:type="dxa" w:w="42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D-01 au registre (nature du projet, qui continue, propriété intellectuelle) ; charte du projet ; registre d'hypothèses consolidé ; classement des sources</w:t>
            </w:r>
          </w:p>
        </w:tc>
        <w:tc>
          <w:tcPr>
            <w:tcW w:type="dxa" w:w="143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0 €</w:t>
            </w:r>
          </w:p>
        </w:tc>
        <w:tc>
          <w:tcPr>
            <w:tcW w:type="dxa" w:w="27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Sans D-01, rien d'autre n'a de sens</w:t>
            </w:r>
          </w:p>
        </w:tc>
      </w:tr>
      <w:tr>
        <w:tc>
          <w:tcPr>
            <w:tcW w:type="dxa" w:w="10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Phase 1, J+1 à J+30</w:t>
            </w:r>
          </w:p>
        </w:tc>
        <w:tc>
          <w:tcPr>
            <w:tcW w:type="dxa" w:w="42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30 comptes rendus d'entretiens (12 cadres, 12 couples, 6 dirigeants) ; prototype des missions 1 et 5 ; mesure du coût et du taux de réussite ; dossier technique MVP avec devis</w:t>
            </w:r>
          </w:p>
        </w:tc>
        <w:tc>
          <w:tcPr>
            <w:tcW w:type="dxa" w:w="143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3 à 5 k€ (API, outils, incentives)</w:t>
            </w:r>
          </w:p>
        </w:tc>
        <w:tc>
          <w:tcPr>
            <w:tcW w:type="dxa" w:w="27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Critères Marketing § 2 : douleur ≥ 60 %, délégation ≥ 50 %, confiance ≥ 50 %, prix médian ≥ 79 €</w:t>
            </w:r>
          </w:p>
        </w:tc>
      </w:tr>
      <w:tr>
        <w:tc>
          <w:tcPr>
            <w:tcW w:type="dxa" w:w="10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Phase 2, J+31 à J+60</w:t>
            </w:r>
          </w:p>
        </w:tc>
        <w:tc>
          <w:tcPr>
            <w:tcW w:type="dxa" w:w="42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10 pilotes payants ; note de prix ; business case V1 ; mémo d'options ; protocole et contrat de pilote</w:t>
            </w:r>
          </w:p>
        </w:tc>
        <w:tc>
          <w:tcPr>
            <w:tcW w:type="dxa" w:w="143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5 à 8 k€</w:t>
            </w:r>
          </w:p>
        </w:tc>
        <w:tc>
          <w:tcPr>
            <w:tcW w:type="dxa" w:w="27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Sécurité : 0 action non autorisée ; fiabilité ≥ 80 % ; activation J7 ≥ 70 %</w:t>
            </w:r>
          </w:p>
        </w:tc>
      </w:tr>
      <w:tr>
        <w:tc>
          <w:tcPr>
            <w:tcW w:type="dxa" w:w="103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Phase 3, J+61 à J+90</w:t>
            </w:r>
          </w:p>
        </w:tc>
        <w:tc>
          <w:tcPr>
            <w:tcW w:type="dxa" w:w="4229"/>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Résultats du pilote ; mémo de décision go ou stop ; livrable HEC ; spécification KPI</w:t>
            </w:r>
          </w:p>
        </w:tc>
        <w:tc>
          <w:tcPr>
            <w:tcW w:type="dxa" w:w="143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 à 2 k€</w:t>
            </w:r>
          </w:p>
        </w:tc>
        <w:tc>
          <w:tcPr>
            <w:tcW w:type="dxa" w:w="270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Rétention semaine 4 ≥ 7/10 ; disposition à payer 79 € ≥ 5/10 ; coût variable ≤ 18 €</w:t>
            </w:r>
          </w:p>
        </w:tc>
      </w:tr>
    </w:tbl>
    <w:p>
      <w:pPr>
        <w:spacing w:after="40"/>
      </w:pPr>
    </w:p>
    <w:p>
      <w:r>
        <w:t>En cas de go : constitution de la société, cession de propriété intellectuelle, pacte, financement de phase 1, lancement à M7.</w:t>
      </w:r>
    </w:p>
    <w:p>
      <w:r>
        <w:br w:type="page"/>
      </w:r>
    </w:p>
    <w:p>
      <w:pPr>
        <w:pStyle w:val="Heading1"/>
        <w:pBdr>
          <w:bottom w:val="single" w:sz="10" w:space="4" w:color="F0916A"/>
        </w:pBdr>
      </w:pPr>
      <w:r>
        <w:t>9. Risques (module 15)</w:t>
      </w:r>
    </w:p>
    <w:tbl>
      <w:tblPr>
        <w:tblW w:type="auto" w:w="0"/>
        <w:jc w:val="center"/>
        <w:tblLayout w:type="fixed"/>
        <w:tblLook w:firstColumn="1" w:firstRow="1" w:lastColumn="0" w:lastRow="0" w:noHBand="0" w:noVBand="1" w:val="04A0"/>
      </w:tblPr>
      <w:tblGrid>
        <w:gridCol w:w="2094"/>
        <w:gridCol w:w="1057"/>
        <w:gridCol w:w="1057"/>
        <w:gridCol w:w="1621"/>
        <w:gridCol w:w="1218"/>
        <w:gridCol w:w="1227"/>
        <w:gridCol w:w="1138"/>
      </w:tblGrid>
      <w:tr>
        <w:tc>
          <w:tcPr>
            <w:tcW w:type="dxa" w:w="209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Risque (cause → événement → conséquence)</w:t>
            </w:r>
          </w:p>
        </w:tc>
        <w:tc>
          <w:tcPr>
            <w:tcW w:type="dxa" w:w="105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Type</w:t>
            </w:r>
          </w:p>
        </w:tc>
        <w:tc>
          <w:tcPr>
            <w:tcW w:type="dxa" w:w="105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Conséquence</w:t>
            </w:r>
          </w:p>
        </w:tc>
        <w:tc>
          <w:tcPr>
            <w:tcW w:type="dxa" w:w="162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Mitigation et coût</w:t>
            </w:r>
          </w:p>
        </w:tc>
        <w:tc>
          <w:tcPr>
            <w:tcW w:type="dxa" w:w="121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Indicateur avancé</w:t>
            </w:r>
          </w:p>
        </w:tc>
        <w:tc>
          <w:tcPr>
            <w:tcW w:type="dxa" w:w="122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Seuil et réponse pré-décidée</w:t>
            </w:r>
          </w:p>
        </w:tc>
        <w:tc>
          <w:tcPr>
            <w:tcW w:type="dxa" w:w="1138"/>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Propriétaire</w:t>
            </w:r>
          </w:p>
        </w:tc>
      </w:tr>
      <w:tr>
        <w:tc>
          <w:tcPr>
            <w:tcW w:type="dxa" w:w="20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Parce que l'accès à Gmail exige la vérification Google des scopes restreints et une évaluation de sécurité annuelle, l'accès aux courriels peut être retardé de 2 à 4 mois</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Incertitude</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2 à 4 mois de retard, 5 à 15 k€</w:t>
            </w:r>
          </w:p>
        </w:tc>
        <w:tc>
          <w:tcPr>
            <w:tcW w:type="dxa" w:w="1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Réduire : dossier de vérification déposé en M2 ; mode dégradé par transfert de courriels vers une adresse Helium</w:t>
            </w:r>
          </w:p>
        </w:tc>
        <w:tc>
          <w:tcPr>
            <w:tcW w:type="dxa" w:w="121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Statut de la vérification</w:t>
            </w:r>
          </w:p>
        </w:tc>
        <w:tc>
          <w:tcPr>
            <w:tcW w:type="dxa" w:w="12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Pas d'approbation à M5 : lancer avec Agenda et transfert de courriels</w:t>
            </w:r>
          </w:p>
        </w:tc>
        <w:tc>
          <w:tcPr>
            <w:tcW w:type="dxa" w:w="113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Isaac</w:t>
            </w:r>
          </w:p>
        </w:tc>
      </w:tr>
      <w:tr>
        <w:tc>
          <w:tcPr>
            <w:tcW w:type="dxa" w:w="20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Parce que les généralistes livrent des fonctions d'agent chaque trimestre, l'écart perçu peut se refermer</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Incertitude</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Churn +2 points, prix −20 €</w:t>
            </w:r>
          </w:p>
        </w:tc>
        <w:tc>
          <w:tcPr>
            <w:tcW w:type="dxa" w:w="1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Réduire : différenciation sur mandat, journal, foyer ; canal employeur</w:t>
            </w:r>
          </w:p>
        </w:tc>
        <w:tc>
          <w:tcPr>
            <w:tcW w:type="dxa" w:w="121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Annonces produit des généralistes</w:t>
            </w:r>
          </w:p>
        </w:tc>
        <w:tc>
          <w:tcPr>
            <w:tcW w:type="dxa" w:w="12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Exécution proactive avec mémoire du foyer à moins de 30 € : revue de prix et accélération B2B2C</w:t>
            </w:r>
          </w:p>
        </w:tc>
        <w:tc>
          <w:tcPr>
            <w:tcW w:type="dxa" w:w="113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Alice</w:t>
            </w:r>
          </w:p>
        </w:tc>
      </w:tr>
      <w:tr>
        <w:tc>
          <w:tcPr>
            <w:tcW w:type="dxa" w:w="20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Parce que le coût par mission n'est pas mesuré, le coût variable peut dépasser 25 €</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Variance</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Marge sous 55 %, besoin +20 k€</w:t>
            </w:r>
          </w:p>
        </w:tc>
        <w:tc>
          <w:tcPr>
            <w:tcW w:type="dxa" w:w="1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Réduire : routage multi-modèles, budget de missions, mesure hebdomadaire</w:t>
            </w:r>
          </w:p>
        </w:tc>
        <w:tc>
          <w:tcPr>
            <w:tcW w:type="dxa" w:w="121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Coût par mission en pilote</w:t>
            </w:r>
          </w:p>
        </w:tc>
        <w:tc>
          <w:tcPr>
            <w:tcW w:type="dxa" w:w="12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&gt; 0,30 € : limites d'usage et hausse de prix testée</w:t>
            </w:r>
          </w:p>
        </w:tc>
        <w:tc>
          <w:tcPr>
            <w:tcW w:type="dxa" w:w="113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Isaac</w:t>
            </w:r>
          </w:p>
        </w:tc>
      </w:tr>
      <w:tr>
        <w:tc>
          <w:tcPr>
            <w:tcW w:type="dxa" w:w="20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Parce que six fondateurs à temps partiel disposent de 25 à 35 heures par semaine, les jalons peuvent glisser</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Variance</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Lancement +3 mois, besoin +23 k€</w:t>
            </w:r>
          </w:p>
        </w:tc>
        <w:tc>
          <w:tcPr>
            <w:tcW w:type="dxa" w:w="1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Réduire : périmètre à 5 missions et une cible si deux jalons manqués</w:t>
            </w:r>
          </w:p>
        </w:tc>
        <w:tc>
          <w:tcPr>
            <w:tcW w:type="dxa" w:w="121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Heures hebdomadaires consacrées</w:t>
            </w:r>
          </w:p>
        </w:tc>
        <w:tc>
          <w:tcPr>
            <w:tcW w:type="dxa" w:w="12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Deux jalons manqués : réduction de périmètre</w:t>
            </w:r>
          </w:p>
        </w:tc>
        <w:tc>
          <w:tcPr>
            <w:tcW w:type="dxa" w:w="113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Malik</w:t>
            </w:r>
          </w:p>
        </w:tc>
      </w:tr>
      <w:tr>
        <w:tc>
          <w:tcPr>
            <w:tcW w:type="dxa" w:w="20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Parce que les courriels contiennent des données de santé et de tiers, un incident peut entraîner sanction CNIL et perte de réputation</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Ignorance</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Non plafonnée</w:t>
            </w:r>
          </w:p>
        </w:tc>
        <w:tc>
          <w:tcPr>
            <w:tcW w:type="dxa" w:w="1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Éviter : minimisation, pas d'inférence de santé, AIPD, charte agents, journal ; transférer : assurance cyber</w:t>
            </w:r>
          </w:p>
        </w:tc>
        <w:tc>
          <w:tcPr>
            <w:tcW w:type="dxa" w:w="121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Résultats d'audit, incidents</w:t>
            </w:r>
          </w:p>
        </w:tc>
        <w:tc>
          <w:tcPr>
            <w:tcW w:type="dxa" w:w="12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Toute action non autorisée : arrêt du parcours</w:t>
            </w:r>
          </w:p>
        </w:tc>
        <w:tc>
          <w:tcPr>
            <w:tcW w:type="dxa" w:w="113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Tiffany</w:t>
            </w:r>
          </w:p>
        </w:tc>
      </w:tr>
      <w:tr>
        <w:tc>
          <w:tcPr>
            <w:tcW w:type="dxa" w:w="20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Parce que la continuation et la propriété intellectuelle ne sont pas décidées, la société peut ne pas posséder son code</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Incertitude</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Financement impossible</w:t>
            </w:r>
          </w:p>
        </w:tc>
        <w:tc>
          <w:tcPr>
            <w:tcW w:type="dxa" w:w="1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Éviter : D-01, cession de PI et pacte avant tout argent externe</w:t>
            </w:r>
          </w:p>
        </w:tc>
        <w:tc>
          <w:tcPr>
            <w:tcW w:type="dxa" w:w="121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Décision au registre</w:t>
            </w:r>
          </w:p>
        </w:tc>
        <w:tc>
          <w:tcPr>
            <w:tcW w:type="dxa" w:w="12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Pas de D-01 à J+7 : escalade au Board</w:t>
            </w:r>
          </w:p>
        </w:tc>
        <w:tc>
          <w:tcPr>
            <w:tcW w:type="dxa" w:w="113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Malik</w:t>
            </w:r>
          </w:p>
        </w:tc>
      </w:tr>
      <w:tr>
        <w:tc>
          <w:tcPr>
            <w:tcW w:type="dxa" w:w="209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Parce que l'organisation de voyages peut relever du Code du tourisme, une mission peut exiger une immatriculation</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Incertitude</w:t>
            </w:r>
          </w:p>
        </w:tc>
        <w:tc>
          <w:tcPr>
            <w:tcW w:type="dxa" w:w="105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Mission retirée ou 3 à 6 mois</w:t>
            </w:r>
          </w:p>
        </w:tc>
        <w:tc>
          <w:tcPr>
            <w:tcW w:type="dxa" w:w="162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Éviter : le majordome prépare, le client réserve et paie ; avis juridique avant toute réservation en son nom</w:t>
            </w:r>
          </w:p>
        </w:tc>
        <w:tc>
          <w:tcPr>
            <w:tcW w:type="dxa" w:w="121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Avis juridique</w:t>
            </w:r>
          </w:p>
        </w:tc>
        <w:tc>
          <w:tcPr>
            <w:tcW w:type="dxa" w:w="12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Qualification « opérateur » : retirer la mission 5 du MVP</w:t>
            </w:r>
          </w:p>
        </w:tc>
        <w:tc>
          <w:tcPr>
            <w:tcW w:type="dxa" w:w="1138"/>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Tiffany</w:t>
            </w:r>
          </w:p>
        </w:tc>
      </w:tr>
    </w:tbl>
    <w:p>
      <w:pPr>
        <w:spacing w:after="40"/>
      </w:pPr>
    </w:p>
    <w:p>
      <w:r>
        <w:br w:type="page"/>
      </w:r>
    </w:p>
    <w:p>
      <w:pPr>
        <w:pStyle w:val="Heading1"/>
        <w:pBdr>
          <w:bottom w:val="single" w:sz="10" w:space="4" w:color="F0916A"/>
        </w:pBdr>
      </w:pPr>
      <w:r>
        <w:t>10. Architecture de KPI (module 17)</w:t>
      </w:r>
    </w:p>
    <w:p>
      <w:r>
        <w:t>Métrique de résultat : abonnés actifs payants rentables. Arbre : abonnés actifs = nouveaux (budget / CAC + organique) − résiliations (churn) ; rentabilité = ARPA − coût variable − CAC amorti. Sept indicateurs au Board, huit à l'équipe, chacun avec seuils, actions et contre-métrique : voir l'onglet KPI du modèle financier. Les sept du Board :</w:t>
      </w:r>
    </w:p>
    <w:tbl>
      <w:tblPr>
        <w:tblW w:type="auto" w:w="0"/>
        <w:jc w:val="center"/>
        <w:tblLayout w:type="fixed"/>
        <w:tblLook w:firstColumn="1" w:firstRow="1" w:lastColumn="0" w:lastRow="0" w:noHBand="0" w:noVBand="1" w:val="04A0"/>
      </w:tblPr>
      <w:tblGrid>
        <w:gridCol w:w="2691"/>
        <w:gridCol w:w="1597"/>
        <w:gridCol w:w="3527"/>
        <w:gridCol w:w="1597"/>
      </w:tblGrid>
      <w:tr>
        <w:tc>
          <w:tcPr>
            <w:tcW w:type="dxa" w:w="2691"/>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Indicateur</w:t>
            </w:r>
          </w:p>
        </w:tc>
        <w:tc>
          <w:tcPr>
            <w:tcW w:type="dxa" w:w="159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Vert</w:t>
            </w:r>
          </w:p>
        </w:tc>
        <w:tc>
          <w:tcPr>
            <w:tcW w:type="dxa" w:w="352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Rouge et action</w:t>
            </w:r>
          </w:p>
        </w:tc>
        <w:tc>
          <w:tcPr>
            <w:tcW w:type="dxa" w:w="159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Propriétaire</w:t>
            </w:r>
          </w:p>
        </w:tc>
      </w:tr>
      <w:tr>
        <w:tc>
          <w:tcPr>
            <w:tcW w:type="dxa" w:w="26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Abonnés actifs payants vs trajectoire</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100 %</w:t>
            </w:r>
          </w:p>
        </w:tc>
        <w:tc>
          <w:tcPr>
            <w:tcW w:type="dxa" w:w="3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&lt; 80 % deux mois : gel de l'acquisition</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Malik</w:t>
            </w:r>
          </w:p>
        </w:tc>
      </w:tr>
      <w:tr>
        <w:tc>
          <w:tcPr>
            <w:tcW w:type="dxa" w:w="26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Rétention J30 des cohortes payantes</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70 %</w:t>
            </w:r>
          </w:p>
        </w:tc>
        <w:tc>
          <w:tcPr>
            <w:tcW w:type="dxa" w:w="3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&lt; 60 % : pas de montée en charge</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Steve</w:t>
            </w:r>
          </w:p>
        </w:tc>
      </w:tr>
      <w:tr>
        <w:tc>
          <w:tcPr>
            <w:tcW w:type="dxa" w:w="26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Fiabilité des missions</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80 %</w:t>
            </w:r>
          </w:p>
        </w:tc>
        <w:tc>
          <w:tcPr>
            <w:tcW w:type="dxa" w:w="3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&lt; 70 % : retrait de la mission la moins fiable</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Isaac</w:t>
            </w:r>
          </w:p>
        </w:tc>
      </w:tr>
      <w:tr>
        <w:tc>
          <w:tcPr>
            <w:tcW w:type="dxa" w:w="26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Incidents critiques</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0</w:t>
            </w:r>
          </w:p>
        </w:tc>
        <w:tc>
          <w:tcPr>
            <w:tcW w:type="dxa" w:w="3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1 critique : arrêt du parcours</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Tiffany</w:t>
            </w:r>
          </w:p>
        </w:tc>
      </w:tr>
      <w:tr>
        <w:tc>
          <w:tcPr>
            <w:tcW w:type="dxa" w:w="26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Coût variable par abonné</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18 €</w:t>
            </w:r>
          </w:p>
        </w:tc>
        <w:tc>
          <w:tcPr>
            <w:tcW w:type="dxa" w:w="3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&gt; 24 € : limites d'usage ou prix</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Sébastien</w:t>
            </w:r>
          </w:p>
        </w:tc>
      </w:tr>
      <w:tr>
        <w:tc>
          <w:tcPr>
            <w:tcW w:type="dxa" w:w="26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Payback du CAC</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6 mois</w:t>
            </w:r>
          </w:p>
        </w:tc>
        <w:tc>
          <w:tcPr>
            <w:tcW w:type="dxa" w:w="3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&gt; 9 mois : arrêt du canal</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Sébastien</w:t>
            </w:r>
          </w:p>
        </w:tc>
      </w:tr>
      <w:tr>
        <w:tc>
          <w:tcPr>
            <w:tcW w:type="dxa" w:w="2691"/>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Marge variable</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 65 %</w:t>
            </w:r>
          </w:p>
        </w:tc>
        <w:tc>
          <w:tcPr>
            <w:tcW w:type="dxa" w:w="352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&lt; 55 % : revue prix et périmètre</w:t>
            </w:r>
          </w:p>
        </w:tc>
        <w:tc>
          <w:tcPr>
            <w:tcW w:type="dxa" w:w="159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Sébastien</w:t>
            </w:r>
          </w:p>
        </w:tc>
      </w:tr>
    </w:tbl>
    <w:p>
      <w:pPr>
        <w:spacing w:after="40"/>
      </w:pPr>
    </w:p>
    <w:p>
      <w:r>
        <w:br w:type="page"/>
      </w:r>
    </w:p>
    <w:p>
      <w:pPr>
        <w:pStyle w:val="Heading1"/>
        <w:pBdr>
          <w:bottom w:val="single" w:sz="10" w:space="4" w:color="F0916A"/>
        </w:pBdr>
      </w:pPr>
      <w:r>
        <w:t>11. Gouvernance et décisions à inscrire</w:t>
      </w:r>
    </w:p>
    <w:tbl>
      <w:tblPr>
        <w:tblW w:type="auto" w:w="0"/>
        <w:jc w:val="center"/>
        <w:tblLayout w:type="fixed"/>
        <w:tblLook w:firstColumn="1" w:firstRow="1" w:lastColumn="0" w:lastRow="0" w:noHBand="0" w:noVBand="1" w:val="04A0"/>
      </w:tblPr>
      <w:tblGrid>
        <w:gridCol w:w="1216"/>
        <w:gridCol w:w="5295"/>
        <w:gridCol w:w="1685"/>
        <w:gridCol w:w="1216"/>
      </w:tblGrid>
      <w:tr>
        <w:tc>
          <w:tcPr>
            <w:tcW w:type="dxa" w:w="121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ID</w:t>
            </w:r>
          </w:p>
        </w:tc>
        <w:tc>
          <w:tcPr>
            <w:tcW w:type="dxa" w:w="529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Décision</w:t>
            </w:r>
          </w:p>
        </w:tc>
        <w:tc>
          <w:tcPr>
            <w:tcW w:type="dxa" w:w="1685"/>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Qui décide</w:t>
            </w:r>
          </w:p>
        </w:tc>
        <w:tc>
          <w:tcPr>
            <w:tcW w:type="dxa" w:w="121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8"/>
              </w:rPr>
              <w:t>Quand</w:t>
            </w:r>
          </w:p>
        </w:tc>
      </w:tr>
      <w:tr>
        <w:tc>
          <w:tcPr>
            <w:tcW w:type="dxa" w:w="12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D-01</w:t>
            </w:r>
          </w:p>
        </w:tc>
        <w:tc>
          <w:tcPr>
            <w:tcW w:type="dxa" w:w="52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Nature du projet (pédagogique ou création), fondateurs qui continuent, principe de répartition du capital et de la propriété intellectuelle</w:t>
            </w:r>
          </w:p>
        </w:tc>
        <w:tc>
          <w:tcPr>
            <w:tcW w:type="dxa" w:w="168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Board, à l'unanimité des six</w:t>
            </w:r>
          </w:p>
        </w:tc>
        <w:tc>
          <w:tcPr>
            <w:tcW w:type="dxa" w:w="12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Semaine du 3 novembre</w:t>
            </w:r>
          </w:p>
        </w:tc>
      </w:tr>
      <w:tr>
        <w:tc>
          <w:tcPr>
            <w:tcW w:type="dxa" w:w="12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D-02</w:t>
            </w:r>
          </w:p>
        </w:tc>
        <w:tc>
          <w:tcPr>
            <w:tcW w:type="dxa" w:w="52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Nom : Helium sous réserve de la recherche d'antériorité ; abandon de « Super Majordome IA » comme dénomination</w:t>
            </w:r>
          </w:p>
        </w:tc>
        <w:tc>
          <w:tcPr>
            <w:tcW w:type="dxa" w:w="168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Malik, sur avis de Tiffany</w:t>
            </w:r>
          </w:p>
        </w:tc>
        <w:tc>
          <w:tcPr>
            <w:tcW w:type="dxa" w:w="12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J+15</w:t>
            </w:r>
          </w:p>
        </w:tc>
      </w:tr>
      <w:tr>
        <w:tc>
          <w:tcPr>
            <w:tcW w:type="dxa" w:w="12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D-03</w:t>
            </w:r>
          </w:p>
        </w:tc>
        <w:tc>
          <w:tcPr>
            <w:tcW w:type="dxa" w:w="52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Cible du pilote et seuils de validation (adoption des critères Marketing § 2 et Produit § 5)</w:t>
            </w:r>
          </w:p>
        </w:tc>
        <w:tc>
          <w:tcPr>
            <w:tcW w:type="dxa" w:w="168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Board</w:t>
            </w:r>
          </w:p>
        </w:tc>
        <w:tc>
          <w:tcPr>
            <w:tcW w:type="dxa" w:w="12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J+7</w:t>
            </w:r>
          </w:p>
        </w:tc>
      </w:tr>
      <w:tr>
        <w:tc>
          <w:tcPr>
            <w:tcW w:type="dxa" w:w="12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D-04</w:t>
            </w:r>
          </w:p>
        </w:tc>
        <w:tc>
          <w:tcPr>
            <w:tcW w:type="dxa" w:w="52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Porte d'évidence : budget ≤ 15 k€, calendrier, propriétaires</w:t>
            </w:r>
          </w:p>
        </w:tc>
        <w:tc>
          <w:tcPr>
            <w:tcW w:type="dxa" w:w="168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Board</w:t>
            </w:r>
          </w:p>
        </w:tc>
        <w:tc>
          <w:tcPr>
            <w:tcW w:type="dxa" w:w="12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J+7</w:t>
            </w:r>
          </w:p>
        </w:tc>
      </w:tr>
      <w:tr>
        <w:tc>
          <w:tcPr>
            <w:tcW w:type="dxa" w:w="12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D-05</w:t>
            </w:r>
          </w:p>
        </w:tc>
        <w:tc>
          <w:tcPr>
            <w:tcW w:type="dxa" w:w="529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Go ou stop sur le lancement et le financement de phase 1</w:t>
            </w:r>
          </w:p>
        </w:tc>
        <w:tc>
          <w:tcPr>
            <w:tcW w:type="dxa" w:w="1685"/>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Board, sur mémo de décision</w:t>
            </w:r>
          </w:p>
        </w:tc>
        <w:tc>
          <w:tcPr>
            <w:tcW w:type="dxa" w:w="121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8"/>
              </w:rPr>
              <w:t>J+90</w:t>
            </w:r>
          </w:p>
        </w:tc>
      </w:tr>
    </w:tbl>
    <w:p>
      <w:pPr>
        <w:spacing w:after="40"/>
      </w:pPr>
    </w:p>
    <w:p>
      <w:r>
        <w:t>Règle : les assistants proposent, les humains décident, et chaque décision est écrite au registre avec les mots de la source, la date, la pièce et qui a décidé.</w:t>
      </w:r>
    </w:p>
    <w:p>
      <w:r>
        <w:br w:type="page"/>
      </w:r>
    </w:p>
    <w:p>
      <w:pPr>
        <w:pStyle w:val="Heading1"/>
        <w:pBdr>
          <w:bottom w:val="single" w:sz="10" w:space="4" w:color="F0916A"/>
        </w:pBdr>
      </w:pPr>
      <w:r>
        <w:t>12. Mémo de décision (module 20)</w:t>
      </w:r>
    </w:p>
    <w:p>
      <w:r>
        <w:rPr>
          <w:b/>
        </w:rPr>
        <w:t>1. Décision demandée.</w:t>
      </w:r>
      <w:r>
        <w:t xml:space="preserve"> Approuver la porte d'évidence Helium : jusqu'à 15 000 € de dépenses et le temps des six fondateurs sur 90 jours, du 3 novembre 2026 au 1er février 2027, pour mesurer le consentement à payer, le coût par mission et le CAC, et revenir au Board avec un go ou stop sur un lancement qui nécessiterait environ 170 000 € (scénario central). Décideur : le Board Helium.</w:t>
      </w:r>
    </w:p>
    <w:p>
      <w:r>
        <w:rPr>
          <w:b/>
        </w:rPr>
        <w:t>2. Pourquoi maintenant.</w:t>
      </w:r>
      <w:r>
        <w:t xml:space="preserve"> Le calendrier HEC impose un livrable ; les généralistes referment l'écart chaque trimestre ; les six fondateurs ont une fenêtre de disponibilité connue. Attendre trois mois coûte un trimestre de différenciation et reporte la décision de création au-delà de la fin du programme, quand l'équipe se disperse.</w:t>
      </w:r>
    </w:p>
    <w:p>
      <w:r>
        <w:rPr>
          <w:b/>
        </w:rPr>
        <w:t>3. Recommandation et justification.</w:t>
      </w:r>
    </w:p>
    <w:p>
      <w:pPr>
        <w:pStyle w:val="ListBullet"/>
      </w:pPr>
      <w:r>
        <w:t>La porte coûte moins de 10 % du besoin de financement du scénario central et répond aux deux questions qui déterminent 80 % de la valeur (prix et coût de service).</w:t>
      </w:r>
    </w:p>
    <w:p>
      <w:pPr>
        <w:pStyle w:val="ListBullet"/>
      </w:pPr>
      <w:r>
        <w:t>Le marché n'est pas la contrainte : la conversion et la rétention à 79 € le sont, et seules des cohortes payantes y répondent.</w:t>
      </w:r>
    </w:p>
    <w:p>
      <w:pPr>
        <w:pStyle w:val="ListBullet"/>
      </w:pPr>
      <w:r>
        <w:t>L'option de repli (employeur, B2B2C) est conçue dès maintenant ; la porte produit l'information qui départage les deux voies.</w:t>
      </w:r>
    </w:p>
    <w:p>
      <w:r>
        <w:rPr>
          <w:b/>
        </w:rPr>
        <w:t>4. Options considérées.</w:t>
      </w:r>
      <w:r>
        <w:t xml:space="preserve"> A, majordome B2C avec porte (recommandée). B, employeur d'abord (finaliste : meilleur CAC, mais six à neuf mois avant la première preuve et séparation employeur / salarié à construire). C, organiseur à 29 € (perd sur la marge et affronte les généralistes de face). D, arrêt après HEC (coût nul, apprentissage nul). E, marque blanche (piste de partenariat, pas une entrée).</w:t>
      </w:r>
    </w:p>
    <w:p>
      <w:r>
        <w:rPr>
          <w:b/>
        </w:rPr>
        <w:t>5. Ce qui doit être vrai.</w:t>
      </w:r>
      <w:r>
        <w:t xml:space="preserve"> Un consentement à payer médian d'au moins 79 € TTC chez les cadres interrogés (test : 30 entretiens, Van Westendorp). Un coût par mission sous 0,18 € avec 80 % de réussite (test : prototype des missions 1 et 5). Un CAC sous 150 € par le réseau et le parrainage (test : trois pages d'atterrissage, cohortes).</w:t>
      </w:r>
    </w:p>
    <w:p>
      <w:r>
        <w:rPr>
          <w:b/>
        </w:rPr>
        <w:t>6. Risques et réponses.</w:t>
      </w:r>
      <w:r>
        <w:t xml:space="preserve"> Vérification Google retardée : mode dégradé par transfert de courriels. Généraliste lançant une offre vie personnelle sous 30 € : revue de prix et accélération B2B2C. Incident de données pendant le pilote : arrêt immédiat, AIPD et charte agents avant toute reprise.</w:t>
      </w:r>
    </w:p>
    <w:p>
      <w:r>
        <w:rPr>
          <w:b/>
        </w:rPr>
        <w:t>7. Ce que nous ne faisons pas.</w:t>
      </w:r>
      <w:r>
        <w:t xml:space="preserve"> Pas de lancement public, pas de dépense d'acquisition, pas de création de société, pas de levée, pas de voix, pas de paiements, pas d'offre Family multi-profils, pas d'international, pendant les 90 jours.</w:t>
      </w:r>
    </w:p>
    <w:p>
      <w:r>
        <w:rPr>
          <w:b/>
        </w:rPr>
        <w:t>8. Comment nous saurons que ça marche.</w:t>
      </w:r>
      <w:r>
        <w:t xml:space="preserve"> À J+30 : critères de cible atteints sur au moins un persona. À J+60 : zéro action non autorisée, fiabilité ≥ 80 %. À J+90 : rétention semaine 4 ≥ 7/10, disposition à payer 79 € ≥ 5/10, coût variable ≤ 18 €. Première revue : 3 décembre 2026.</w:t>
      </w:r>
    </w:p>
    <w:p>
      <w:r>
        <w:rPr>
          <w:b/>
        </w:rPr>
        <w:t>9. Enregistrement.</w:t>
      </w:r>
      <w:r>
        <w:t xml:space="preserve"> Approuvé / rejeté / différé, par, le, conditions : à compléter au registre (D-04).</w:t>
      </w:r>
    </w:p>
    <w:p>
      <w:r>
        <w:br w:type="page"/>
      </w:r>
    </w:p>
    <w:p>
      <w:pPr>
        <w:pStyle w:val="Heading1"/>
        <w:pBdr>
          <w:bottom w:val="single" w:sz="10" w:space="4" w:color="F0916A"/>
        </w:pBdr>
      </w:pPr>
      <w:r>
        <w:t>Annexe A. Audit des hypothèses (module 03)</w:t>
      </w:r>
    </w:p>
    <w:tbl>
      <w:tblPr>
        <w:tblW w:type="auto" w:w="0"/>
        <w:jc w:val="center"/>
        <w:tblLayout w:type="fixed"/>
        <w:tblLook w:firstColumn="1" w:firstRow="1" w:lastColumn="0" w:lastRow="0" w:noHBand="0" w:noVBand="1" w:val="04A0"/>
      </w:tblPr>
      <w:tblGrid>
        <w:gridCol w:w="703"/>
        <w:gridCol w:w="1490"/>
        <w:gridCol w:w="1344"/>
        <w:gridCol w:w="926"/>
        <w:gridCol w:w="1670"/>
        <w:gridCol w:w="1344"/>
        <w:gridCol w:w="1177"/>
        <w:gridCol w:w="760"/>
      </w:tblGrid>
      <w:tr>
        <w:tc>
          <w:tcPr>
            <w:tcW w:type="dxa" w:w="703"/>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w:t>
            </w:r>
          </w:p>
        </w:tc>
        <w:tc>
          <w:tcPr>
            <w:tcW w:type="dxa" w:w="149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Affirmation</w:t>
            </w:r>
          </w:p>
        </w:tc>
        <w:tc>
          <w:tcPr>
            <w:tcW w:type="dxa" w:w="134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Classification</w:t>
            </w:r>
          </w:p>
        </w:tc>
        <w:tc>
          <w:tcPr>
            <w:tcW w:type="dxa" w:w="926"/>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Fragilité</w:t>
            </w:r>
          </w:p>
        </w:tc>
        <w:tc>
          <w:tcPr>
            <w:tcW w:type="dxa" w:w="167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Conséquence si fausse</w:t>
            </w:r>
          </w:p>
        </w:tc>
        <w:tc>
          <w:tcPr>
            <w:tcW w:type="dxa" w:w="1344"/>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Test le moins cher</w:t>
            </w:r>
          </w:p>
        </w:tc>
        <w:tc>
          <w:tcPr>
            <w:tcW w:type="dxa" w:w="1177"/>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Propriétaire</w:t>
            </w:r>
          </w:p>
        </w:tc>
        <w:tc>
          <w:tcPr>
            <w:tcW w:type="dxa" w:w="760"/>
            <w:tcMar>
              <w:top w:w="60" w:type="dxa"/>
              <w:bottom w:w="60" w:type="dxa"/>
              <w:start w:w="90" w:type="dxa"/>
              <w:end w:w="90" w:type="dxa"/>
            </w:tcMar>
            <w:shd w:val="clear" w:color="auto" w:fill="EFE9E0"/>
            <w:tcBorders>
              <w:top w:val="nil"/>
              <w:left w:val="nil"/>
              <w:bottom w:val="single" w:sz="8" w:color="F0916A"/>
              <w:right w:val="nil"/>
            </w:tcBorders>
          </w:tcPr>
          <w:p>
            <w:pPr>
              <w:spacing w:after="0" w:line="252" w:lineRule="auto"/>
            </w:pPr>
            <w:r/>
            <w:r>
              <w:rPr>
                <w:b/>
                <w:color w:val="201C19"/>
                <w:sz w:val="16"/>
              </w:rPr>
              <w:t>Date</w:t>
            </w:r>
          </w:p>
        </w:tc>
      </w:tr>
      <w:tr>
        <w:tc>
          <w:tcPr>
            <w:tcW w:type="dxa" w:w="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A1</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Coût variable 18 € HT par client et par mois</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Assertion</w:t>
            </w:r>
          </w:p>
        </w:tc>
        <w:tc>
          <w:tcPr>
            <w:tcW w:type="dxa" w:w="9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Haute</w:t>
            </w:r>
          </w:p>
        </w:tc>
        <w:tc>
          <w:tcPr>
            <w:tcW w:type="dxa" w:w="16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Marge sous 55 %, prix à revoir</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Prototype missions 1 et 5, cinq utilisateurs, une semaine</w:t>
            </w:r>
          </w:p>
        </w:tc>
        <w:tc>
          <w:tcPr>
            <w:tcW w:type="dxa" w:w="11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Isaac</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J+21</w:t>
            </w:r>
          </w:p>
        </w:tc>
      </w:tr>
      <w:tr>
        <w:tc>
          <w:tcPr>
            <w:tcW w:type="dxa" w:w="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A2</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Les cadres paient 79 € par mois</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Assertion</w:t>
            </w:r>
          </w:p>
        </w:tc>
        <w:tc>
          <w:tcPr>
            <w:tcW w:type="dxa" w:w="9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Haute</w:t>
            </w:r>
          </w:p>
        </w:tc>
        <w:tc>
          <w:tcPr>
            <w:tcW w:type="dxa" w:w="16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Pivot vers B ou C</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30 entretiens, Van Westendorp</w:t>
            </w:r>
          </w:p>
        </w:tc>
        <w:tc>
          <w:tcPr>
            <w:tcW w:type="dxa" w:w="11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Alice</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J+30</w:t>
            </w:r>
          </w:p>
        </w:tc>
      </w:tr>
      <w:tr>
        <w:tc>
          <w:tcPr>
            <w:tcW w:type="dxa" w:w="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A3</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80 % des missions réussissent sans humain</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Assertion</w:t>
            </w:r>
          </w:p>
        </w:tc>
        <w:tc>
          <w:tcPr>
            <w:tcW w:type="dxa" w:w="9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Haute</w:t>
            </w:r>
          </w:p>
        </w:tc>
        <w:tc>
          <w:tcPr>
            <w:tcW w:type="dxa" w:w="16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Le modèle « 100 % IA » devient une conciergerie augmentée</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Même prototype</w:t>
            </w:r>
          </w:p>
        </w:tc>
        <w:tc>
          <w:tcPr>
            <w:tcW w:type="dxa" w:w="11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Isaac</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J+21</w:t>
            </w:r>
          </w:p>
        </w:tc>
      </w:tr>
      <w:tr>
        <w:tc>
          <w:tcPr>
            <w:tcW w:type="dxa" w:w="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A4</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Les six fondateurs continuent après HEC</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Assertion</w:t>
            </w:r>
          </w:p>
        </w:tc>
        <w:tc>
          <w:tcPr>
            <w:tcW w:type="dxa" w:w="9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Moyenne</w:t>
            </w:r>
          </w:p>
        </w:tc>
        <w:tc>
          <w:tcPr>
            <w:tcW w:type="dxa" w:w="16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Tout le juridique et le financier devient sans objet</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Une conversation, D-01</w:t>
            </w:r>
          </w:p>
        </w:tc>
        <w:tc>
          <w:tcPr>
            <w:tcW w:type="dxa" w:w="11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Malik</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J+7</w:t>
            </w:r>
          </w:p>
        </w:tc>
      </w:tr>
      <w:tr>
        <w:tc>
          <w:tcPr>
            <w:tcW w:type="dxa" w:w="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A5</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Churn 3 % par mois</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Assertion</w:t>
            </w:r>
          </w:p>
        </w:tc>
        <w:tc>
          <w:tcPr>
            <w:tcW w:type="dxa" w:w="9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Haute</w:t>
            </w:r>
          </w:p>
        </w:tc>
        <w:tc>
          <w:tcPr>
            <w:tcW w:type="dxa" w:w="16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LTV/CAC divisé par deux à 6 % ; les applications IA en plan mensuel ne retiennent que 6 % de leurs abonnés à 12 mois (RevenueCat 2026)</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Cohortes du pilote (partiel à J+90)</w:t>
            </w:r>
          </w:p>
        </w:tc>
        <w:tc>
          <w:tcPr>
            <w:tcW w:type="dxa" w:w="11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Steve</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J+90</w:t>
            </w:r>
          </w:p>
        </w:tc>
      </w:tr>
      <w:tr>
        <w:tc>
          <w:tcPr>
            <w:tcW w:type="dxa" w:w="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A6</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CAC 150 €</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Assertion</w:t>
            </w:r>
          </w:p>
        </w:tc>
        <w:tc>
          <w:tcPr>
            <w:tcW w:type="dxa" w:w="9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Moyenne</w:t>
            </w:r>
          </w:p>
        </w:tc>
        <w:tc>
          <w:tcPr>
            <w:tcW w:type="dxa" w:w="16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Besoin +120 k€ à 240 €</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Pages d'atterrissage et cohortes</w:t>
            </w:r>
          </w:p>
        </w:tc>
        <w:tc>
          <w:tcPr>
            <w:tcW w:type="dxa" w:w="11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Alice</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J+60</w:t>
            </w:r>
          </w:p>
        </w:tc>
      </w:tr>
      <w:tr>
        <w:tc>
          <w:tcPr>
            <w:tcW w:type="dxa" w:w="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A7</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Les généralistes ne referment pas l'écart en 12 mois</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Héritage</w:t>
            </w:r>
          </w:p>
        </w:tc>
        <w:tc>
          <w:tcPr>
            <w:tcW w:type="dxa" w:w="9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Haute</w:t>
            </w:r>
          </w:p>
        </w:tc>
        <w:tc>
          <w:tcPr>
            <w:tcW w:type="dxa" w:w="16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Différenciation perdue à 20 €</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Non testable : veille et war-game</w:t>
            </w:r>
          </w:p>
        </w:tc>
        <w:tc>
          <w:tcPr>
            <w:tcW w:type="dxa" w:w="11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Alice</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continu</w:t>
            </w:r>
          </w:p>
        </w:tc>
      </w:tr>
      <w:tr>
        <w:tc>
          <w:tcPr>
            <w:tcW w:type="dxa" w:w="703"/>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A8</w:t>
            </w:r>
          </w:p>
        </w:tc>
        <w:tc>
          <w:tcPr>
            <w:tcW w:type="dxa" w:w="149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L'exclusion des paiements suffit à rester hors du droit des services de paiement et du tourisme</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Assertion</w:t>
            </w:r>
          </w:p>
        </w:tc>
        <w:tc>
          <w:tcPr>
            <w:tcW w:type="dxa" w:w="926"/>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Moyenne</w:t>
            </w:r>
          </w:p>
        </w:tc>
        <w:tc>
          <w:tcPr>
            <w:tcW w:type="dxa" w:w="167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Mission retirée ou immatriculation</w:t>
            </w:r>
          </w:p>
        </w:tc>
        <w:tc>
          <w:tcPr>
            <w:tcW w:type="dxa" w:w="1344"/>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Avis juridique</w:t>
            </w:r>
          </w:p>
        </w:tc>
        <w:tc>
          <w:tcPr>
            <w:tcW w:type="dxa" w:w="1177"/>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Tiffany</w:t>
            </w:r>
          </w:p>
        </w:tc>
        <w:tc>
          <w:tcPr>
            <w:tcW w:type="dxa" w:w="760"/>
            <w:tcMar>
              <w:top w:w="60" w:type="dxa"/>
              <w:bottom w:w="60" w:type="dxa"/>
              <w:start w:w="90" w:type="dxa"/>
              <w:end w:w="90" w:type="dxa"/>
            </w:tcMar>
            <w:tcBorders>
              <w:top w:val="nil"/>
              <w:left w:val="nil"/>
              <w:bottom w:val="single" w:sz="4" w:color="E4DDD2"/>
              <w:right w:val="nil"/>
            </w:tcBorders>
          </w:tcPr>
          <w:p>
            <w:pPr>
              <w:spacing w:after="0" w:line="252" w:lineRule="auto"/>
            </w:pPr>
            <w:r/>
            <w:r>
              <w:rPr>
                <w:color w:val="201C19"/>
                <w:sz w:val="16"/>
              </w:rPr>
              <w:t>J+30</w:t>
            </w:r>
          </w:p>
        </w:tc>
      </w:tr>
    </w:tbl>
    <w:p>
      <w:pPr>
        <w:spacing w:after="40"/>
      </w:pPr>
    </w:p>
    <w:p>
      <w:r>
        <w:t>Si A1 et A2 échouent ensemble, la recommandation devient : avantage salarié B2B2C ou arrêt.</w:t>
      </w:r>
    </w:p>
    <w:sectPr w:rsidR="00FC693F" w:rsidRPr="0006063C" w:rsidSect="00034616">
      <w:headerReference w:type="default" r:id="rId9"/>
      <w:footerReference w:type="default" r:id="rId10"/>
      <w:pgSz w:w="11906" w:h="16838"/>
      <w:pgMar w:top="1134" w:right="1247" w:bottom="1020"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8A8178"/>
        <w:sz w:val="16"/>
      </w:rPr>
      <w:t xml:space="preserve">Page </w:t>
    </w:r>
    <w:fldSimple w:instr="PAGE">
      <w:r>
        <w:t>1</w:t>
      </w:r>
    </w:fldSimple>
  </w:p>
  <w:p>
    <w:r>
      <w:rPr>
        <w:color w:val="8A8178"/>
        <w:sz w:val="15"/>
      </w:rPr>
      <w:t>HEC GEMM Group 4  ·  Document de travail, hypothèses à valider  ·  Ne pas diffuser hors équipe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8A8178"/>
        <w:sz w:val="16"/>
      </w:rPr>
      <w:t>Helium  ·  Helium, modèle d'affaires et étude de cas de lancement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201C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eastAsia="Georgia" w:cs="Georgia"/>
      <w:b w:val="0"/>
      <w:bCs/>
      <w:color w:val="201C1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eastAsia="Georgia" w:cs="Georgia"/>
      <w:b/>
      <w:bCs/>
      <w:color w:val="201C19"/>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D973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