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pPr>
      <w:r>
        <w:drawing>
          <wp:inline xmlns:a="http://schemas.openxmlformats.org/drawingml/2006/main" xmlns:pic="http://schemas.openxmlformats.org/drawingml/2006/picture">
            <wp:extent cx="2340000" cy="811778"/>
            <wp:docPr id="1" name="Picture 1"/>
            <wp:cNvGraphicFramePr>
              <a:graphicFrameLocks noChangeAspect="1"/>
            </wp:cNvGraphicFramePr>
            <a:graphic>
              <a:graphicData uri="http://schemas.openxmlformats.org/drawingml/2006/picture">
                <pic:pic>
                  <pic:nvPicPr>
                    <pic:cNvPr id="0" name="wordmark_ink.png"/>
                    <pic:cNvPicPr/>
                  </pic:nvPicPr>
                  <pic:blipFill>
                    <a:blip r:embed="rId11"/>
                    <a:stretch>
                      <a:fillRect/>
                    </a:stretch>
                  </pic:blipFill>
                  <pic:spPr>
                    <a:xfrm>
                      <a:off x="0" y="0"/>
                      <a:ext cx="2340000" cy="811778"/>
                    </a:xfrm>
                    <a:prstGeom prst="rect"/>
                  </pic:spPr>
                </pic:pic>
              </a:graphicData>
            </a:graphic>
          </wp:inline>
        </w:drawing>
      </w:r>
    </w:p>
    <w:p>
      <w:pPr>
        <w:spacing w:before="1400"/>
        <w:pBdr>
          <w:bottom w:val="single" w:sz="18" w:space="4" w:color="F0916A"/>
        </w:pBdr>
      </w:pPr>
      <w:r>
        <w:rPr>
          <w:rFonts w:ascii="Georgia" w:hAnsi="Georgia"/>
          <w:color w:val="201C19"/>
          <w:sz w:val="60"/>
        </w:rPr>
        <w:t>Revue juridique des cinq projets en dépôt</w:t>
      </w:r>
    </w:p>
    <w:p>
      <w:pPr>
        <w:spacing w:before="200"/>
      </w:pPr>
      <w:r>
        <w:rPr>
          <w:rFonts w:ascii="Georgia" w:hAnsi="Georgia"/>
          <w:color w:val="8A8178"/>
          <w:sz w:val="30"/>
        </w:rPr>
        <w:t>Vérification, corrections et compléments. Statuts, CGV/CGU, politique de confidentialité, politique interne, charte des agents IA</w:t>
      </w:r>
    </w:p>
    <w:p>
      <w:pPr>
        <w:spacing w:before="2400"/>
      </w:pPr>
    </w:p>
    <w:p>
      <w:pPr>
        <w:spacing w:after="40"/>
      </w:pPr>
      <w:r>
        <w:rPr>
          <w:color w:val="8A8178"/>
          <w:sz w:val="18"/>
        </w:rPr>
        <w:t xml:space="preserve">Préparé par  </w:t>
      </w:r>
      <w:r>
        <w:rPr>
          <w:color w:val="201C19"/>
          <w:sz w:val="20"/>
        </w:rPr>
        <w:t>Assistant IA Direction, à la demande du CEO (Malik), pour Tiffany (Affaires juridiques, archiviste)</w:t>
      </w:r>
    </w:p>
    <w:p>
      <w:pPr>
        <w:spacing w:after="40"/>
      </w:pPr>
      <w:r>
        <w:rPr>
          <w:color w:val="8A8178"/>
          <w:sz w:val="18"/>
        </w:rPr>
        <w:t xml:space="preserve">Pour  </w:t>
      </w:r>
      <w:r>
        <w:rPr>
          <w:color w:val="201C19"/>
          <w:sz w:val="20"/>
        </w:rPr>
        <w:t>Tiffany Rongvaux, Director Legal Affairs ; copie au Board</w:t>
      </w:r>
    </w:p>
    <w:p>
      <w:pPr>
        <w:spacing w:after="40"/>
      </w:pPr>
      <w:r>
        <w:rPr>
          <w:color w:val="8A8178"/>
          <w:sz w:val="18"/>
        </w:rPr>
        <w:t xml:space="preserve">Date  </w:t>
      </w:r>
      <w:r>
        <w:rPr>
          <w:color w:val="201C19"/>
          <w:sz w:val="20"/>
        </w:rPr>
        <w:t>27 octobre 2026</w:t>
      </w:r>
    </w:p>
    <w:p>
      <w:pPr>
        <w:spacing w:after="40"/>
      </w:pPr>
      <w:r>
        <w:rPr>
          <w:color w:val="8A8178"/>
          <w:sz w:val="18"/>
        </w:rPr>
        <w:t xml:space="preserve">Statut  </w:t>
      </w:r>
      <w:r>
        <w:rPr>
          <w:color w:val="201C19"/>
          <w:sz w:val="20"/>
        </w:rPr>
        <w:t>Revue d'assistant, pas un avis juridique. Chaque correction cite sa base ; les versions corrigées (V2) sont déposées dans PRODUCTIONS ASSISTANTS et n'entrent dans 7 JURIDIQUE RH que par décision de Tiffany</w:t>
      </w:r>
    </w:p>
    <w:p>
      <w:pPr>
        <w:spacing w:after="40"/>
      </w:pPr>
      <w:r>
        <w:rPr>
          <w:color w:val="8A8178"/>
          <w:sz w:val="18"/>
        </w:rPr>
        <w:t xml:space="preserve">Version  </w:t>
      </w:r>
      <w:r>
        <w:rPr>
          <w:color w:val="201C19"/>
          <w:sz w:val="20"/>
        </w:rPr>
        <w:t>1.0</w:t>
      </w:r>
    </w:p>
    <w:p>
      <w:r>
        <w:br w:type="page"/>
      </w:r>
    </w:p>
    <w:p>
      <w:pPr>
        <w:pStyle w:val="Heading1"/>
        <w:pBdr>
          <w:bottom w:val="single" w:sz="10" w:space="4" w:color="F0916A"/>
        </w:pBdr>
      </w:pPr>
      <w:r>
        <w:t>1. Objet, méthode et verdict d'ensemble</w:t>
      </w:r>
    </w:p>
    <w:p>
      <w:r>
        <w:t xml:space="preserve">Le dossier </w:t>
      </w:r>
      <w:r>
        <w:rPr>
          <w:rFonts w:ascii="Consolas" w:hAnsi="Consolas" w:eastAsia="Consolas"/>
        </w:rPr>
        <w:t>7 JURIDIQUE RH/CONTRATS/</w:t>
      </w:r>
      <w:r>
        <w:t xml:space="preserve"> contient cinq projets datés du 27 octobre 2026 (fait) : statuts de SASU, CGV/CGU, politique de confidentialité, politique interne de protection des données, charte d'exécution des agents IA. Le dossier </w:t>
      </w:r>
      <w:r>
        <w:rPr>
          <w:rFonts w:ascii="Consolas" w:hAnsi="Consolas" w:eastAsia="Consolas"/>
        </w:rPr>
        <w:t>STATUTS ET PACTE/</w:t>
      </w:r>
      <w:r>
        <w:t xml:space="preserve"> ne contient qu'un fichier LISEZ-MOI : il n'y a pas de pacte d'associés (fait).</w:t>
      </w:r>
    </w:p>
    <w:p>
      <w:r>
        <w:t>Méthode : lecture intégrale des cinq textes, vérification des références citées sur Légifrance et EUR-Lex, confrontation à la réalité du projet telle qu'elle ressort des autres dossiers du dépôt (six fondateurs, lecture de courriels, missions de réservation et de voyage, offre Family), puis corrections apportées dans des versions V2 avec un journal des modifications en tête de chaque document.</w:t>
      </w:r>
    </w:p>
    <w:p>
      <w:r>
        <w:rPr>
          <w:b/>
        </w:rPr>
        <w:t>Verdict.</w:t>
      </w:r>
      <w:r>
        <w:t xml:space="preserve"> Les cinq projets sont d'une qualité inhabituelle pour des productions d'assistant : prudents, explicitement caveatés, cohérents entre eux. Aucun ne contient d'erreur grossière. En revanche trois problèmes structurels les rendent inutilisables en l'état, et ils ne tiennent pas à la rédaction mais aux décisions que l'équipe n'a pas encore prises.</w:t>
      </w:r>
    </w:p>
    <w:p>
      <w:pPr>
        <w:spacing w:after="60"/>
        <w:ind w:left="425" w:hanging="425"/>
      </w:pPr>
      <w:r>
        <w:rPr>
          <w:b/>
        </w:rPr>
        <w:t>1.</w:t>
        <w:tab/>
      </w:r>
      <w:r>
        <w:rPr>
          <w:b/>
        </w:rPr>
        <w:t>La forme sociale contredit l'équipe.</w:t>
      </w:r>
      <w:r>
        <w:t xml:space="preserve"> Les statuts, les CGV et la politique de confidentialité décrivent une SASU dont Malik est l'associé unique avec 100 € de capital. L'équipe compte six fondateurs. Soit cinq d'entre eux ne sont pas associés et ne possèdent rien de ce qu'ils construisent, soit les statuts sont faux. Ce point relève du registre des décisions (D-01), pas d'une correction de texte.</w:t>
      </w:r>
    </w:p>
    <w:p>
      <w:pPr>
        <w:spacing w:after="60"/>
        <w:ind w:left="425" w:hanging="425"/>
      </w:pPr>
      <w:r>
        <w:rPr>
          <w:b/>
        </w:rPr>
        <w:t>2.</w:t>
        <w:tab/>
      </w:r>
      <w:r>
        <w:rPr>
          <w:b/>
        </w:rPr>
        <w:t>La promesse « hébergement européen » n'est pas tenue par les documents.</w:t>
      </w:r>
      <w:r>
        <w:t xml:space="preserve"> Marketing promet un hébergement européen (promesse client, engagement n° 3). Les documents juridiques ne nomment aucun fournisseur et laissent ouverts les transferts hors EEE. Si les modèles d'IA sont appelés chez des fournisseurs américains, la promesse est au mieux partielle. Il faut choisir avant de promettre.</w:t>
      </w:r>
    </w:p>
    <w:p>
      <w:pPr>
        <w:spacing w:after="60"/>
        <w:ind w:left="425" w:hanging="425"/>
      </w:pPr>
      <w:r>
        <w:rPr>
          <w:b/>
        </w:rPr>
        <w:t>3.</w:t>
        <w:tab/>
      </w:r>
      <w:r>
        <w:rPr>
          <w:b/>
        </w:rPr>
        <w:t>La lecture des courriels est le traitement le plus lourd du produit et le moins traité.</w:t>
      </w:r>
      <w:r>
        <w:t xml:space="preserve"> Les textes excluent les données de santé du périmètre. Or une boîte de réception d'un cadre contient des confirmations de rendez-vous médicaux, des courriers de mutuelle, des échanges avec l'école de ses enfants. L'exclusion déclarée n'empêche pas le traitement incident ; elle doit être remplacée par une base juridique et des mesures de minimisation explicites.</w:t>
      </w:r>
    </w:p>
    <w:p>
      <w:pPr>
        <w:pStyle w:val="Heading1"/>
        <w:pBdr>
          <w:bottom w:val="single" w:sz="10" w:space="4" w:color="F0916A"/>
        </w:pBdr>
      </w:pPr>
      <w:r>
        <w:t>2. Tableau des constats</w:t>
      </w:r>
    </w:p>
    <w:p>
      <w:r>
        <w:t xml:space="preserve">Gravité : </w:t>
      </w:r>
      <w:r>
        <w:rPr>
          <w:b/>
        </w:rPr>
        <w:t>Bloquant</w:t>
      </w:r>
      <w:r>
        <w:t xml:space="preserve"> (empêche le pilote ou expose à une sanction), </w:t>
      </w:r>
      <w:r>
        <w:rPr>
          <w:b/>
        </w:rPr>
        <w:t>Majeur</w:t>
      </w:r>
      <w:r>
        <w:t xml:space="preserve"> (doit être corrigé avant commercialisation), </w:t>
      </w:r>
      <w:r>
        <w:rPr>
          <w:b/>
        </w:rPr>
        <w:t>Mineur</w:t>
      </w:r>
      <w:r>
        <w:t xml:space="preserve"> (amélioration).</w:t>
      </w:r>
    </w:p>
    <w:p>
      <w:pPr>
        <w:pStyle w:val="Heading2"/>
      </w:pPr>
      <w:r>
        <w:t>2.1 Statuts (projet 1.0)</w:t>
      </w:r>
    </w:p>
    <w:tbl>
      <w:tblPr>
        <w:tblW w:type="auto" w:w="0"/>
        <w:jc w:val="center"/>
        <w:tblLayout w:type="fixed"/>
        <w:tblLook w:firstColumn="1" w:firstRow="1" w:lastColumn="0" w:lastRow="0" w:noHBand="0" w:noVBand="1" w:val="04A0"/>
      </w:tblPr>
      <w:tblGrid>
        <w:gridCol w:w="1300"/>
        <w:gridCol w:w="2514"/>
        <w:gridCol w:w="931"/>
        <w:gridCol w:w="2994"/>
        <w:gridCol w:w="1674"/>
      </w:tblGrid>
      <w:tr>
        <w:tc>
          <w:tcPr>
            <w:tcW w:type="dxa" w:w="1300"/>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7"/>
              </w:rPr>
              <w:t>Réf.</w:t>
            </w:r>
          </w:p>
        </w:tc>
        <w:tc>
          <w:tcPr>
            <w:tcW w:type="dxa" w:w="2514"/>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7"/>
              </w:rPr>
              <w:t>Constat</w:t>
            </w:r>
          </w:p>
        </w:tc>
        <w:tc>
          <w:tcPr>
            <w:tcW w:type="dxa" w:w="931"/>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7"/>
              </w:rPr>
              <w:t>Gravité</w:t>
            </w:r>
          </w:p>
        </w:tc>
        <w:tc>
          <w:tcPr>
            <w:tcW w:type="dxa" w:w="2994"/>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7"/>
              </w:rPr>
              <w:t>Correction apportée en V2</w:t>
            </w:r>
          </w:p>
        </w:tc>
        <w:tc>
          <w:tcPr>
            <w:tcW w:type="dxa" w:w="1674"/>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7"/>
              </w:rPr>
              <w:t>Base</w:t>
            </w:r>
          </w:p>
        </w:tc>
      </w:tr>
      <w:tr>
        <w:tc>
          <w:tcPr>
            <w:tcW w:type="dxa" w:w="130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Forme</w:t>
            </w:r>
          </w:p>
        </w:tc>
        <w:tc>
          <w:tcPr>
            <w:tcW w:type="dxa" w:w="251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SASU à associé unique pour une équipe de six fondateurs</w:t>
            </w:r>
          </w:p>
        </w:tc>
        <w:tc>
          <w:tcPr>
            <w:tcW w:type="dxa" w:w="93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Bloquant</w:t>
            </w:r>
          </w:p>
        </w:tc>
        <w:tc>
          <w:tcPr>
            <w:tcW w:type="dxa" w:w="299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Texte reconverti en SAS pluripersonnelle avec un tableau des apports à compléter ; la SASU est conservée comme variante si D-01 ne retient qu'un fondateur</w:t>
            </w:r>
          </w:p>
        </w:tc>
        <w:tc>
          <w:tcPr>
            <w:tcW w:type="dxa" w:w="167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C. com. art. L. 227-1 et s. ; une SAS peut avoir un ou plusieurs associés</w:t>
            </w:r>
          </w:p>
        </w:tc>
      </w:tr>
      <w:tr>
        <w:tc>
          <w:tcPr>
            <w:tcW w:type="dxa" w:w="130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Art. 6 et 7</w:t>
            </w:r>
          </w:p>
        </w:tc>
        <w:tc>
          <w:tcPr>
            <w:tcW w:type="dxa" w:w="251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Capital de 100 € : licite (aucun minimum en SAS), mais signal faible pour les banques et les aides ; surtout, un apport en nature du logiciel est impossible sans commissaire aux apports avec un capital de 100 €, puisque la dispense exige que les apports en nature non évalués restent sous la moitié du capital</w:t>
            </w:r>
          </w:p>
        </w:tc>
        <w:tc>
          <w:tcPr>
            <w:tcW w:type="dxa" w:w="93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Majeur</w:t>
            </w:r>
          </w:p>
        </w:tc>
        <w:tc>
          <w:tcPr>
            <w:tcW w:type="dxa" w:w="299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Capital laissé en variable, avec recommandation d'un capital en numéraire significatif si un apport en nature est envisagé ; sinon, cession de droits à la société après immatriculation, chaque coauteur signant, avec le formalisme de la cession</w:t>
            </w:r>
          </w:p>
        </w:tc>
        <w:tc>
          <w:tcPr>
            <w:tcW w:type="dxa" w:w="167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C. com. L. 227-1 al. 5 et 6, D. 227-3 (seuil de 30 000 € et règle de la moitié du capital) ; CPI L. 111-1, L. 113-2, L. 113-9 (employés seulement), L. 122-6, L. 131-3</w:t>
            </w:r>
          </w:p>
        </w:tc>
      </w:tr>
      <w:tr>
        <w:tc>
          <w:tcPr>
            <w:tcW w:type="dxa" w:w="130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Art. 9</w:t>
            </w:r>
          </w:p>
        </w:tc>
        <w:tc>
          <w:tcPr>
            <w:tcW w:type="dxa" w:w="251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Transmission des actions « libre » même en présence de plusieurs associés</w:t>
            </w:r>
          </w:p>
        </w:tc>
        <w:tc>
          <w:tcPr>
            <w:tcW w:type="dxa" w:w="93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Bloquant en SAS</w:t>
            </w:r>
          </w:p>
        </w:tc>
        <w:tc>
          <w:tcPr>
            <w:tcW w:type="dxa" w:w="299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Clauses d'agrément, de préemption, d'inaliénabilité temporaire (trois ans, maximum légal dix) et d'exclusion ajoutées dès l'origine : elles sont sans effet tant que l'associé est unique et évitent d'avoir à réunir l'unanimité plus tard ; vesting, drag et tag dans le pacte</w:t>
            </w:r>
          </w:p>
        </w:tc>
        <w:tc>
          <w:tcPr>
            <w:tcW w:type="dxa" w:w="167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C. com. L. 227-13, L. 227-14, L. 227-15 (nullité des cessions irrégulières), L. 227-16, L. 227-19, L. 227-20</w:t>
            </w:r>
          </w:p>
        </w:tc>
      </w:tr>
      <w:tr>
        <w:tc>
          <w:tcPr>
            <w:tcW w:type="dxa" w:w="130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Art. 12</w:t>
            </w:r>
          </w:p>
        </w:tc>
        <w:tc>
          <w:tcPr>
            <w:tcW w:type="dxa" w:w="251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Majorité simple pour toutes les décisions, y compris modifications statutaires</w:t>
            </w:r>
          </w:p>
        </w:tc>
        <w:tc>
          <w:tcPr>
            <w:tcW w:type="dxa" w:w="93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Majeur</w:t>
            </w:r>
          </w:p>
        </w:tc>
        <w:tc>
          <w:tcPr>
            <w:tcW w:type="dxa" w:w="299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Majorité qualifiée des deux tiers pour les modifications statutaires, le capital et les opérations structurelles ; unanimité là où la loi l'impose</w:t>
            </w:r>
          </w:p>
        </w:tc>
        <w:tc>
          <w:tcPr>
            <w:tcW w:type="dxa" w:w="167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C. com. L. 227-9, L. 227-19</w:t>
            </w:r>
          </w:p>
        </w:tc>
      </w:tr>
      <w:tr>
        <w:tc>
          <w:tcPr>
            <w:tcW w:type="dxa" w:w="130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Art. 14</w:t>
            </w:r>
          </w:p>
        </w:tc>
        <w:tc>
          <w:tcPr>
            <w:tcW w:type="dxa" w:w="251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Premier exercice clos le 31 décembre de l'année d'immatriculation : si l'immatriculation a lieu en fin d'année, exercice de quelques semaines et comptes à déposer pour rien</w:t>
            </w:r>
          </w:p>
        </w:tc>
        <w:tc>
          <w:tcPr>
            <w:tcW w:type="dxa" w:w="93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Mineur</w:t>
            </w:r>
          </w:p>
        </w:tc>
        <w:tc>
          <w:tcPr>
            <w:tcW w:type="dxa" w:w="299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Option de clôture au 31 décembre de l'année suivante (durée maximale du premier exercice à vérifier avec l'expert-comptable, en pratique inférieure à 24 mois)</w:t>
            </w:r>
          </w:p>
        </w:tc>
        <w:tc>
          <w:tcPr>
            <w:tcW w:type="dxa" w:w="167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Pratique ; CGI art. 209 I pour la première imposition</w:t>
            </w:r>
          </w:p>
        </w:tc>
      </w:tr>
      <w:tr>
        <w:tc>
          <w:tcPr>
            <w:tcW w:type="dxa" w:w="130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Art. 4</w:t>
            </w:r>
          </w:p>
        </w:tc>
        <w:tc>
          <w:tcPr>
            <w:tcW w:type="dxa" w:w="251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Siège fictif</w:t>
            </w:r>
          </w:p>
        </w:tc>
        <w:tc>
          <w:tcPr>
            <w:tcW w:type="dxa" w:w="93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Mineur</w:t>
            </w:r>
          </w:p>
        </w:tc>
        <w:tc>
          <w:tcPr>
            <w:tcW w:type="dxa" w:w="299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Note : domiciliation chez le président possible sans limitation de durée s'il est propriétaire ou si le bail ne s'y oppose pas, sinon cinq ans</w:t>
            </w:r>
          </w:p>
        </w:tc>
        <w:tc>
          <w:tcPr>
            <w:tcW w:type="dxa" w:w="167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C. com. L. 123-11-1</w:t>
            </w:r>
          </w:p>
        </w:tc>
      </w:tr>
      <w:tr>
        <w:tc>
          <w:tcPr>
            <w:tcW w:type="dxa" w:w="130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Dénomination</w:t>
            </w:r>
          </w:p>
        </w:tc>
        <w:tc>
          <w:tcPr>
            <w:tcW w:type="dxa" w:w="251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 Super Majordome IA » : descriptif, faible en marque ; « Helium » envisagé mais non vérifié</w:t>
            </w:r>
          </w:p>
        </w:tc>
        <w:tc>
          <w:tcPr>
            <w:tcW w:type="dxa" w:w="93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Majeur</w:t>
            </w:r>
          </w:p>
        </w:tc>
        <w:tc>
          <w:tcPr>
            <w:tcW w:type="dxa" w:w="299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Dénomination laissée entre crochets ; recherche d'antériorité INPI et EUIPO classes 9, 35, 42, 45 avant adoption</w:t>
            </w:r>
          </w:p>
        </w:tc>
        <w:tc>
          <w:tcPr>
            <w:tcW w:type="dxa" w:w="167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CPI L. 711-1 et s.</w:t>
            </w:r>
          </w:p>
        </w:tc>
      </w:tr>
      <w:tr>
        <w:tc>
          <w:tcPr>
            <w:tcW w:type="dxa" w:w="130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Manque</w:t>
            </w:r>
          </w:p>
        </w:tc>
        <w:tc>
          <w:tcPr>
            <w:tcW w:type="dxa" w:w="251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Pas de pacte d'associés, pas de cession de propriété intellectuelle des fondateurs à la société ; le code écrit par des cofondateurs non salariés leur appartient, la dévolution automatique ne jouant que pour les employés</w:t>
            </w:r>
          </w:p>
        </w:tc>
        <w:tc>
          <w:tcPr>
            <w:tcW w:type="dxa" w:w="93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Bloquant avant tout argent externe</w:t>
            </w:r>
          </w:p>
        </w:tc>
        <w:tc>
          <w:tcPr>
            <w:tcW w:type="dxa" w:w="299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Deux documents à créer (voir § 4)</w:t>
            </w:r>
          </w:p>
        </w:tc>
        <w:tc>
          <w:tcPr>
            <w:tcW w:type="dxa" w:w="167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CPI L. 111-1, L. 113-9 ; L. 131-3 : la cession mentionne chaque droit cédé, son étendue, sa destination, le lieu et la durée</w:t>
            </w:r>
          </w:p>
        </w:tc>
      </w:tr>
    </w:tbl>
    <w:p>
      <w:pPr>
        <w:spacing w:after="40"/>
      </w:pPr>
    </w:p>
    <w:p>
      <w:pPr>
        <w:pStyle w:val="Heading2"/>
      </w:pPr>
      <w:r>
        <w:t>2.2 CGV/CGU (projet 1.2)</w:t>
      </w:r>
    </w:p>
    <w:tbl>
      <w:tblPr>
        <w:tblW w:type="auto" w:w="0"/>
        <w:jc w:val="center"/>
        <w:tblLayout w:type="fixed"/>
        <w:tblLook w:firstColumn="1" w:firstRow="1" w:lastColumn="0" w:lastRow="0" w:noHBand="0" w:noVBand="1" w:val="04A0"/>
      </w:tblPr>
      <w:tblGrid>
        <w:gridCol w:w="765"/>
        <w:gridCol w:w="2541"/>
        <w:gridCol w:w="1530"/>
        <w:gridCol w:w="2968"/>
        <w:gridCol w:w="1607"/>
      </w:tblGrid>
      <w:tr>
        <w:tc>
          <w:tcPr>
            <w:tcW w:type="dxa" w:w="765"/>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7"/>
              </w:rPr>
              <w:t>Réf.</w:t>
            </w:r>
          </w:p>
        </w:tc>
        <w:tc>
          <w:tcPr>
            <w:tcW w:type="dxa" w:w="2541"/>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7"/>
              </w:rPr>
              <w:t>Constat</w:t>
            </w:r>
          </w:p>
        </w:tc>
        <w:tc>
          <w:tcPr>
            <w:tcW w:type="dxa" w:w="1530"/>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7"/>
              </w:rPr>
              <w:t>Gravité</w:t>
            </w:r>
          </w:p>
        </w:tc>
        <w:tc>
          <w:tcPr>
            <w:tcW w:type="dxa" w:w="2968"/>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7"/>
              </w:rPr>
              <w:t>Correction apportée en V2</w:t>
            </w:r>
          </w:p>
        </w:tc>
        <w:tc>
          <w:tcPr>
            <w:tcW w:type="dxa" w:w="1607"/>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7"/>
              </w:rPr>
              <w:t>Base</w:t>
            </w:r>
          </w:p>
        </w:tc>
      </w:tr>
      <w:tr>
        <w:tc>
          <w:tcPr>
            <w:tcW w:type="dxa" w:w="76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Art. 1</w:t>
            </w:r>
          </w:p>
        </w:tc>
        <w:tc>
          <w:tcPr>
            <w:tcW w:type="dxa" w:w="254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Identité du prestataire : coordonnées fictives (annoncées comme telles) ; manque l'hébergeur du service et le directeur de la publication, mentions obligatoires</w:t>
            </w:r>
          </w:p>
        </w:tc>
        <w:tc>
          <w:tcPr>
            <w:tcW w:type="dxa" w:w="153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Majeur</w:t>
            </w:r>
          </w:p>
        </w:tc>
        <w:tc>
          <w:tcPr>
            <w:tcW w:type="dxa" w:w="2968"/>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Lignes « Hébergeur » et « Directeur de la publication » ajoutées ; référence corrigée : depuis la loi SREN du 21 mai 2024, les mentions d'identification de l'éditeur figurent à l'article 1-1 de la loi n° 2004-575, plus à l'article 6 III</w:t>
            </w:r>
          </w:p>
        </w:tc>
        <w:tc>
          <w:tcPr>
            <w:tcW w:type="dxa" w:w="160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Loi n° 2004-575, art. 1-1 (dénomination, siège, téléphone, RCS et capital, directeur de la publication, hébergeur) ; C. com. R. 123-237 (mention RCS et greffe sur le site)</w:t>
            </w:r>
          </w:p>
        </w:tc>
      </w:tr>
      <w:tr>
        <w:tc>
          <w:tcPr>
            <w:tcW w:type="dxa" w:w="76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Art. 3</w:t>
            </w:r>
          </w:p>
        </w:tc>
        <w:tc>
          <w:tcPr>
            <w:tcW w:type="dxa" w:w="254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Description du service : décrit des fonctions reportées (voix, Family) sans distinguer ce qui est livré</w:t>
            </w:r>
          </w:p>
        </w:tc>
        <w:tc>
          <w:tcPr>
            <w:tcW w:type="dxa" w:w="153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Majeur</w:t>
            </w:r>
          </w:p>
        </w:tc>
        <w:tc>
          <w:tcPr>
            <w:tcW w:type="dxa" w:w="2968"/>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Renvoi à une « fiche d'offre » annexée listant exclusivement les fonctions disponibles à la date de la commande ; les fonctions reportées sont retirées du texte contractuel</w:t>
            </w:r>
          </w:p>
        </w:tc>
        <w:tc>
          <w:tcPr>
            <w:tcW w:type="dxa" w:w="160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C. conso. L. 111-1 et L. 221-5 (caractéristiques essentielles)</w:t>
            </w:r>
          </w:p>
        </w:tc>
      </w:tr>
      <w:tr>
        <w:tc>
          <w:tcPr>
            <w:tcW w:type="dxa" w:w="76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Art. 3</w:t>
            </w:r>
          </w:p>
        </w:tc>
        <w:tc>
          <w:tcPr>
            <w:tcW w:type="dxa" w:w="254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Aucune mention que le client interagit avec un système d'IA au sens du règlement européen ; Helium est « fournisseur » de son propre système (agent assemblé autour d'un modèle tiers, commercialisé sous sa marque)</w:t>
            </w:r>
          </w:p>
        </w:tc>
        <w:tc>
          <w:tcPr>
            <w:tcW w:type="dxa" w:w="153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Majeur</w:t>
            </w:r>
          </w:p>
        </w:tc>
        <w:tc>
          <w:tcPr>
            <w:tcW w:type="dxa" w:w="2968"/>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Clause de transparence ajoutée : information au plus tard à la première interaction ; les contenus rédigés par l'IA sont signalés comme tels avant envoi et marqués de façon lisible par machine (en-tête technique) ; politique de mention visible tranchée dans la charte</w:t>
            </w:r>
          </w:p>
        </w:tc>
        <w:tc>
          <w:tcPr>
            <w:tcW w:type="dxa" w:w="160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Règlement (UE) 2024/1689, art. 3 (3), art. 50 §1, §2 et §5, applicables depuis le 2 août 2026</w:t>
            </w:r>
          </w:p>
        </w:tc>
      </w:tr>
      <w:tr>
        <w:tc>
          <w:tcPr>
            <w:tcW w:type="dxa" w:w="76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Art. 5</w:t>
            </w:r>
          </w:p>
        </w:tc>
        <w:tc>
          <w:tcPr>
            <w:tcW w:type="dxa" w:w="254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Parcours de commande correct (bouton d'obligation de paiement, support durable)</w:t>
            </w:r>
          </w:p>
        </w:tc>
        <w:tc>
          <w:tcPr>
            <w:tcW w:type="dxa" w:w="153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Conforme</w:t>
            </w:r>
          </w:p>
        </w:tc>
        <w:tc>
          <w:tcPr>
            <w:tcW w:type="dxa" w:w="2968"/>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Aucun changement</w:t>
            </w:r>
          </w:p>
        </w:tc>
        <w:tc>
          <w:tcPr>
            <w:tcW w:type="dxa" w:w="160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C. conso. L. 221-14, L. 221-13</w:t>
            </w:r>
          </w:p>
        </w:tc>
      </w:tr>
      <w:tr>
        <w:tc>
          <w:tcPr>
            <w:tcW w:type="dxa" w:w="76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Art. 6</w:t>
            </w:r>
          </w:p>
        </w:tc>
        <w:tc>
          <w:tcPr>
            <w:tcW w:type="dxa" w:w="254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Prix TTC : correct pour la France ; vente à des consommateurs d'autres États membres sans mention de la TVA du pays du client</w:t>
            </w:r>
          </w:p>
        </w:tc>
        <w:tc>
          <w:tcPr>
            <w:tcW w:type="dxa" w:w="153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Mineur</w:t>
            </w:r>
          </w:p>
        </w:tc>
        <w:tc>
          <w:tcPr>
            <w:tcW w:type="dxa" w:w="2968"/>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Mention ajoutée : le prix affiché inclut la TVA applicable au pays de résidence du client (régime OSS)</w:t>
            </w:r>
          </w:p>
        </w:tc>
        <w:tc>
          <w:tcPr>
            <w:tcW w:type="dxa" w:w="160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Directive 2006/112/CE art. 58 ; CGI art. 259 D</w:t>
            </w:r>
          </w:p>
        </w:tc>
      </w:tr>
      <w:tr>
        <w:tc>
          <w:tcPr>
            <w:tcW w:type="dxa" w:w="76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Art. 7</w:t>
            </w:r>
          </w:p>
        </w:tc>
        <w:tc>
          <w:tcPr>
            <w:tcW w:type="dxa" w:w="254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Résiliation : conforme à la résiliation en ligne « en trois clics » (fonctionnalité « résilier votre contrat », page récapitulative, « notification de la résiliation », confirmation sur support durable) ; le préavis maximal de dix jours prévu pour les services numériques n'est pas repris</w:t>
            </w:r>
          </w:p>
        </w:tc>
        <w:tc>
          <w:tcPr>
            <w:tcW w:type="dxa" w:w="153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Majeur</w:t>
            </w:r>
          </w:p>
        </w:tc>
        <w:tc>
          <w:tcPr>
            <w:tcW w:type="dxa" w:w="2968"/>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Ajout : fonctionnalité gratuite, accessible sans création d'un espace supplémentaire ; prise d'effet au plus tard dix jours après la demande si le Client le souhaite, avec remboursement au prorata de la période payée ; le décret applicable est le n° 2023-417 du 31 mai 2023 (le décret n° 2023-182 concerne l'assurance)</w:t>
            </w:r>
          </w:p>
        </w:tc>
        <w:tc>
          <w:tcPr>
            <w:tcW w:type="dxa" w:w="160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C. conso. L. 215-1-1 ; D. 215-1 à D. 215-3 (décret n° 2023-417) ; L. 224-25-9 (préavis ≤ 10 jours, champ à confirmer)</w:t>
            </w:r>
          </w:p>
        </w:tc>
      </w:tr>
      <w:tr>
        <w:tc>
          <w:tcPr>
            <w:tcW w:type="dxa" w:w="76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Art. 8</w:t>
            </w:r>
          </w:p>
        </w:tc>
        <w:tc>
          <w:tcPr>
            <w:tcW w:type="dxa" w:w="254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Rétractation : conforme sur le fond (service, non contenu numérique : L. 221-28 1°, prorata L. 221-25) ; manque la fonctionnalité de rétractation en ligne rendue obligatoire en 2026 pour les contrats conclus par interface en ligne</w:t>
            </w:r>
          </w:p>
        </w:tc>
        <w:tc>
          <w:tcPr>
            <w:tcW w:type="dxa" w:w="153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Majeur</w:t>
            </w:r>
          </w:p>
        </w:tc>
        <w:tc>
          <w:tcPr>
            <w:tcW w:type="dxa" w:w="2968"/>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Ajout : fonctionnalité « renoncer au contrat ici », bouton « confirmer la rétractation », accusé de réception sur support durable ; formulation de la case d'exécution immédiate avec reconnaissance de la perte du droit</w:t>
            </w:r>
          </w:p>
        </w:tc>
        <w:tc>
          <w:tcPr>
            <w:tcW w:type="dxa" w:w="160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C. conso. L. 221-18, L. 221-25, L. 221-28 1° ; L. 221-21 et D. 221-5 (ordonnance n° 2026-2 et décret n° 2026-3, en vigueur depuis juin 2026) ; L. 221-5 9° et 10°</w:t>
            </w:r>
          </w:p>
        </w:tc>
      </w:tr>
      <w:tr>
        <w:tc>
          <w:tcPr>
            <w:tcW w:type="dxa" w:w="76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Art. 10</w:t>
            </w:r>
          </w:p>
        </w:tc>
        <w:tc>
          <w:tcPr>
            <w:tcW w:type="dxa" w:w="254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L'autorisation d'exécuter des actions n'est pas qualifiée juridiquement</w:t>
            </w:r>
          </w:p>
        </w:tc>
        <w:tc>
          <w:tcPr>
            <w:tcW w:type="dxa" w:w="153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Majeur</w:t>
            </w:r>
          </w:p>
        </w:tc>
        <w:tc>
          <w:tcPr>
            <w:tcW w:type="dxa" w:w="2968"/>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Qualification en mandat spécial limité aux actes d'administration de la vie courante listés, par action validée : la Société agit en nom et pour le compte du client ; tout acte de disposition et toute signature sont exclus ; compte rendu par le journal ; révocable à tout moment ; responsabilité pleine du mandataire rémunéré</w:t>
            </w:r>
          </w:p>
        </w:tc>
        <w:tc>
          <w:tcPr>
            <w:tcW w:type="dxa" w:w="160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C. civ. art. 1984, 1987, 1988, 1989, 1992, 1993, 1998, 2004 (mandat) ; art. 1153 et 1154 (représentation) ; art. 1367 (signature)</w:t>
            </w:r>
          </w:p>
        </w:tc>
      </w:tr>
      <w:tr>
        <w:tc>
          <w:tcPr>
            <w:tcW w:type="dxa" w:w="76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Art. 10</w:t>
            </w:r>
          </w:p>
        </w:tc>
        <w:tc>
          <w:tcPr>
            <w:tcW w:type="dxa" w:w="254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Mission « organisation d'un déplacement privé » : préparer est libre ; faciliter dans une même session la réservation d'un train puis d'un hôtel pour le même voyage peut constituer une « prestation de voyage liée » et faire de Helium un professionnel soumis à immatriculation, même sans encaissement</w:t>
            </w:r>
          </w:p>
        </w:tc>
        <w:tc>
          <w:tcPr>
            <w:tcW w:type="dxa" w:w="153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Bloquant pour la mission 5 si réservation par Helium</w:t>
            </w:r>
          </w:p>
        </w:tc>
        <w:tc>
          <w:tcPr>
            <w:tcW w:type="dxa" w:w="2968"/>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Clause limitant le MVP : Helium prépare et compare, ne perçoit aucune commission, n'encaisse rien ; chaque contrat de voyage est conclu par le client lui-même sur la plateforme du prestataire ; mention « Helium n'est pas un opérateur de voyages » ; avis juridique ou rescrit avant toute extension</w:t>
            </w:r>
          </w:p>
        </w:tc>
        <w:tc>
          <w:tcPr>
            <w:tcW w:type="dxa" w:w="160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C. tourisme art. L. 211-1 I, L. 211-2 III (prestation de voyage liée), L. 211-18 (immatriculation, garantie financière, assurance) ; réponses ministérielles 2019 (critère « facilite la réservation »)</w:t>
            </w:r>
          </w:p>
        </w:tc>
      </w:tr>
      <w:tr>
        <w:tc>
          <w:tcPr>
            <w:tcW w:type="dxa" w:w="76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Art. 10</w:t>
            </w:r>
          </w:p>
        </w:tc>
        <w:tc>
          <w:tcPr>
            <w:tcW w:type="dxa" w:w="254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Exclusion des paiements : confirmée comme nécessaire pour rester hors des services de paiement ; vigilance sur l'initiation de paiement et l'information sur les comptes, qui sont des services réglementés</w:t>
            </w:r>
          </w:p>
        </w:tc>
        <w:tc>
          <w:tcPr>
            <w:tcW w:type="dxa" w:w="153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Conforme</w:t>
            </w:r>
          </w:p>
        </w:tc>
        <w:tc>
          <w:tcPr>
            <w:tcW w:type="dxa" w:w="2968"/>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Mention explicite ajoutée : la Société ne reçoit, ne détient, ne transmet ni n'initie aucun paiement, ne lit aucun compte bancaire ; le client saisit et confirme lui-même tout paiement sur les sites tiers</w:t>
            </w:r>
          </w:p>
        </w:tc>
        <w:tc>
          <w:tcPr>
            <w:tcW w:type="dxa" w:w="160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C. mon. fin. art. L. 314-1 II 7° et 8°, L. 314-1 III 3°, L. 521-2</w:t>
            </w:r>
          </w:p>
        </w:tc>
      </w:tr>
      <w:tr>
        <w:tc>
          <w:tcPr>
            <w:tcW w:type="dxa" w:w="76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Art. 12</w:t>
            </w:r>
          </w:p>
        </w:tc>
        <w:tc>
          <w:tcPr>
            <w:tcW w:type="dxa" w:w="254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Fonctionnement de l'IA : correct ; manque le droit de signaler et de demander une intervention humaine pour les propositions à fort impact</w:t>
            </w:r>
          </w:p>
        </w:tc>
        <w:tc>
          <w:tcPr>
            <w:tcW w:type="dxa" w:w="153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Mineur</w:t>
            </w:r>
          </w:p>
        </w:tc>
        <w:tc>
          <w:tcPr>
            <w:tcW w:type="dxa" w:w="2968"/>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Ajout d'une ligne « intervention humaine à la demande »</w:t>
            </w:r>
          </w:p>
        </w:tc>
        <w:tc>
          <w:tcPr>
            <w:tcW w:type="dxa" w:w="160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RGPD art. 22 §3 par analogie ; bonne pratique</w:t>
            </w:r>
          </w:p>
        </w:tc>
      </w:tr>
      <w:tr>
        <w:tc>
          <w:tcPr>
            <w:tcW w:type="dxa" w:w="76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Art. 13</w:t>
            </w:r>
          </w:p>
        </w:tc>
        <w:tc>
          <w:tcPr>
            <w:tcW w:type="dxa" w:w="254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Family : correct ; manque le consentement de chaque adulte invité aux CGV et à la politique de confidentialité</w:t>
            </w:r>
          </w:p>
        </w:tc>
        <w:tc>
          <w:tcPr>
            <w:tcW w:type="dxa" w:w="153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Majeur</w:t>
            </w:r>
          </w:p>
        </w:tc>
        <w:tc>
          <w:tcPr>
            <w:tcW w:type="dxa" w:w="2968"/>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Ajout : chaque adulte accepte les conditions lors de l'invitation ; le titulaire payeur n'est pas mandataire des autres membres</w:t>
            </w:r>
          </w:p>
        </w:tc>
        <w:tc>
          <w:tcPr>
            <w:tcW w:type="dxa" w:w="160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RGPD art. 4 §11, art. 7</w:t>
            </w:r>
          </w:p>
        </w:tc>
      </w:tr>
      <w:tr>
        <w:tc>
          <w:tcPr>
            <w:tcW w:type="dxa" w:w="76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Art. 15</w:t>
            </w:r>
          </w:p>
        </w:tc>
        <w:tc>
          <w:tcPr>
            <w:tcW w:type="dxa" w:w="254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Données de santé « exclues du périmètre »</w:t>
            </w:r>
          </w:p>
        </w:tc>
        <w:tc>
          <w:tcPr>
            <w:tcW w:type="dxa" w:w="153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Majeur</w:t>
            </w:r>
          </w:p>
        </w:tc>
        <w:tc>
          <w:tcPr>
            <w:tcW w:type="dxa" w:w="2968"/>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Remplacé par : le service ne déduit ni n'enregistre d'information sur l'état de santé ; les mentions de santé présentes dans les courriels sont traitées de façon incidente, sur consentement explicite recueilli à l'activation du connecteur, et ne sont jamais utilisées pour une finalité propre</w:t>
            </w:r>
          </w:p>
        </w:tc>
        <w:tc>
          <w:tcPr>
            <w:tcW w:type="dxa" w:w="160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RGPD art. 9 §2 a) ; CNIL, fiches « données de santé »</w:t>
            </w:r>
          </w:p>
        </w:tc>
      </w:tr>
      <w:tr>
        <w:tc>
          <w:tcPr>
            <w:tcW w:type="dxa" w:w="76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Art. 16</w:t>
            </w:r>
          </w:p>
        </w:tc>
        <w:tc>
          <w:tcPr>
            <w:tcW w:type="dxa" w:w="254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Entraînement des modèles : correct</w:t>
            </w:r>
          </w:p>
        </w:tc>
        <w:tc>
          <w:tcPr>
            <w:tcW w:type="dxa" w:w="153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Conforme</w:t>
            </w:r>
          </w:p>
        </w:tc>
        <w:tc>
          <w:tcPr>
            <w:tcW w:type="dxa" w:w="2968"/>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Ajout : les prestataires d'IA sont liés contractuellement à l'interdiction d'entraîner sur les données des clients (clause « zero data retention » ou équivalent)</w:t>
            </w:r>
          </w:p>
        </w:tc>
        <w:tc>
          <w:tcPr>
            <w:tcW w:type="dxa" w:w="160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RGPD art. 28 §3</w:t>
            </w:r>
          </w:p>
        </w:tc>
      </w:tr>
      <w:tr>
        <w:tc>
          <w:tcPr>
            <w:tcW w:type="dxa" w:w="76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Art. 20</w:t>
            </w:r>
          </w:p>
        </w:tc>
        <w:tc>
          <w:tcPr>
            <w:tcW w:type="dxa" w:w="254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Encadré de garantie : le projet cite l'article D. 211-4, ce qui est exact pour un service numérique fourni de manière continue (D. 211-2 vise la vente de biens, D. 211-3 la fourniture ponctuelle)</w:t>
            </w:r>
          </w:p>
        </w:tc>
        <w:tc>
          <w:tcPr>
            <w:tcW w:type="dxa" w:w="153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Conforme</w:t>
            </w:r>
          </w:p>
        </w:tc>
        <w:tc>
          <w:tcPr>
            <w:tcW w:type="dxa" w:w="2968"/>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Encadré de l'annexe à D. 211-4 à insérer tel quel, « X » étant remplacé par « la durée de l'abonnement » ; mention ajoutée qu'aucun niveau minimal de qualité de service n'est proposé, et des mesures prévues en cas d'incident de sécurité</w:t>
            </w:r>
          </w:p>
        </w:tc>
        <w:tc>
          <w:tcPr>
            <w:tcW w:type="dxa" w:w="160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C. conso. art. L. 211-2, D. 211-4 et annexe (décret n° 2022-946) ; L. 224-25-5 3° et 8°</w:t>
            </w:r>
          </w:p>
        </w:tc>
      </w:tr>
      <w:tr>
        <w:tc>
          <w:tcPr>
            <w:tcW w:type="dxa" w:w="76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Art. 22</w:t>
            </w:r>
          </w:p>
        </w:tc>
        <w:tc>
          <w:tcPr>
            <w:tcW w:type="dxa" w:w="254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Médiation : placeholder correct ; la désignation d'un médiateur référencé est une condition de mise sur le marché</w:t>
            </w:r>
          </w:p>
        </w:tc>
        <w:tc>
          <w:tcPr>
            <w:tcW w:type="dxa" w:w="153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Bloquant avant commercialisation (pas avant pilote si le pilote est un contrat de test)</w:t>
            </w:r>
          </w:p>
        </w:tc>
        <w:tc>
          <w:tcPr>
            <w:tcW w:type="dxa" w:w="2968"/>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Aucun changement de texte ; action : adhésion à un médiateur référencé avant la première vente publique</w:t>
            </w:r>
          </w:p>
        </w:tc>
        <w:tc>
          <w:tcPr>
            <w:tcW w:type="dxa" w:w="160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C. conso. L. 611-1 et s., L. 616-1</w:t>
            </w:r>
          </w:p>
        </w:tc>
      </w:tr>
      <w:tr>
        <w:tc>
          <w:tcPr>
            <w:tcW w:type="dxa" w:w="76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Art. 23</w:t>
            </w:r>
          </w:p>
        </w:tc>
        <w:tc>
          <w:tcPr>
            <w:tcW w:type="dxa" w:w="254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Droit applicable et juridictions : conforme (pas de compétence exclusive imposée, protections impératives du pays de résidence préservées)</w:t>
            </w:r>
          </w:p>
        </w:tc>
        <w:tc>
          <w:tcPr>
            <w:tcW w:type="dxa" w:w="153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Conforme</w:t>
            </w:r>
          </w:p>
        </w:tc>
        <w:tc>
          <w:tcPr>
            <w:tcW w:type="dxa" w:w="2968"/>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Ajout de la clause de langue (français, qui prévaut sur toute traduction) et de la clause de preuve (journal des actions comme élément de preuve, sans renversement de la charge, qui serait abusif)</w:t>
            </w:r>
          </w:p>
        </w:tc>
        <w:tc>
          <w:tcPr>
            <w:tcW w:type="dxa" w:w="160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Loi n° 94-665 art. 2 et 4 ; C. civ. art. 1127-1 3°, 1368 ; Rome I art. 6 ; Bruxelles I bis art. 18 et 19 ; C. conso. L. 232-1, R. 212-1 12°, R. 212-2 10°</w:t>
            </w:r>
          </w:p>
        </w:tc>
      </w:tr>
      <w:tr>
        <w:tc>
          <w:tcPr>
            <w:tcW w:type="dxa" w:w="76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Manque</w:t>
            </w:r>
          </w:p>
        </w:tc>
        <w:tc>
          <w:tcPr>
            <w:tcW w:type="dxa" w:w="254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Pas de clause de propriété intellectuelle sur le service, pas de clause d'usage acceptable, pas de clause de durée de conservation après résiliation dans les CGV elles-mêmes (renvoi à la politique)</w:t>
            </w:r>
          </w:p>
        </w:tc>
        <w:tc>
          <w:tcPr>
            <w:tcW w:type="dxa" w:w="153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Mineur</w:t>
            </w:r>
          </w:p>
        </w:tc>
        <w:tc>
          <w:tcPr>
            <w:tcW w:type="dxa" w:w="2968"/>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Trois articles courts ajoutés</w:t>
            </w:r>
          </w:p>
        </w:tc>
        <w:tc>
          <w:tcPr>
            <w:tcW w:type="dxa" w:w="160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Pratique</w:t>
            </w:r>
          </w:p>
        </w:tc>
      </w:tr>
      <w:tr>
        <w:tc>
          <w:tcPr>
            <w:tcW w:type="dxa" w:w="76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Manque</w:t>
            </w:r>
          </w:p>
        </w:tc>
        <w:tc>
          <w:tcPr>
            <w:tcW w:type="dxa" w:w="254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Aucune condition spécifique au pilote payant</w:t>
            </w:r>
          </w:p>
        </w:tc>
        <w:tc>
          <w:tcPr>
            <w:tcW w:type="dxa" w:w="153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Bloquant pour le pilote</w:t>
            </w:r>
          </w:p>
        </w:tc>
        <w:tc>
          <w:tcPr>
            <w:tcW w:type="dxa" w:w="2968"/>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Document « Conditions du pilote » à créer (voir § 4)</w:t>
            </w:r>
          </w:p>
        </w:tc>
        <w:tc>
          <w:tcPr>
            <w:tcW w:type="dxa" w:w="160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C. conso. L. 221-5</w:t>
            </w:r>
          </w:p>
        </w:tc>
      </w:tr>
    </w:tbl>
    <w:p>
      <w:pPr>
        <w:spacing w:after="40"/>
      </w:pPr>
    </w:p>
    <w:p>
      <w:pPr>
        <w:pStyle w:val="Heading2"/>
      </w:pPr>
      <w:r>
        <w:t>2.3 Politique de confidentialité (projet 1.0)</w:t>
      </w:r>
    </w:p>
    <w:tbl>
      <w:tblPr>
        <w:tblW w:type="auto" w:w="0"/>
        <w:jc w:val="center"/>
        <w:tblLayout w:type="fixed"/>
        <w:tblLook w:firstColumn="1" w:firstRow="1" w:lastColumn="0" w:lastRow="0" w:noHBand="0" w:noVBand="1" w:val="04A0"/>
      </w:tblPr>
      <w:tblGrid>
        <w:gridCol w:w="803"/>
        <w:gridCol w:w="2580"/>
        <w:gridCol w:w="1155"/>
        <w:gridCol w:w="3180"/>
        <w:gridCol w:w="1694"/>
      </w:tblGrid>
      <w:tr>
        <w:tc>
          <w:tcPr>
            <w:tcW w:type="dxa" w:w="803"/>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7"/>
              </w:rPr>
              <w:t>Réf.</w:t>
            </w:r>
          </w:p>
        </w:tc>
        <w:tc>
          <w:tcPr>
            <w:tcW w:type="dxa" w:w="2580"/>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7"/>
              </w:rPr>
              <w:t>Constat</w:t>
            </w:r>
          </w:p>
        </w:tc>
        <w:tc>
          <w:tcPr>
            <w:tcW w:type="dxa" w:w="1155"/>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7"/>
              </w:rPr>
              <w:t>Gravité</w:t>
            </w:r>
          </w:p>
        </w:tc>
        <w:tc>
          <w:tcPr>
            <w:tcW w:type="dxa" w:w="3180"/>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7"/>
              </w:rPr>
              <w:t>Correction apportée en V2</w:t>
            </w:r>
          </w:p>
        </w:tc>
        <w:tc>
          <w:tcPr>
            <w:tcW w:type="dxa" w:w="1694"/>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7"/>
              </w:rPr>
              <w:t>Base</w:t>
            </w:r>
          </w:p>
        </w:tc>
      </w:tr>
      <w:tr>
        <w:tc>
          <w:tcPr>
            <w:tcW w:type="dxa" w:w="80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 3</w:t>
            </w:r>
          </w:p>
        </w:tc>
        <w:tc>
          <w:tcPr>
            <w:tcW w:type="dxa" w:w="258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Bases juridiques : la lecture des courriels, de l'agenda et des fichiers pour exécuter les tâches demandées est nécessaire au contrat, ce qui est la bonne base pour le cœur du service (un consentement retirable à tout moment rendrait le service inexécutable) ; en revanche trois exigences distinctes ne sont pas traitées : le consentement explicite pour les données particulières présentes dans les courriels, le consentement exprès, spécifique et renouvelé chaque année pour toute analyse à d'autres fins que l'exécution des tâches (amélioration, statistiques), et l'information des tiers dont les données figurent dans les courriels</w:t>
            </w:r>
          </w:p>
        </w:tc>
        <w:tc>
          <w:tcPr>
            <w:tcW w:type="dxa" w:w="115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Majeur</w:t>
            </w:r>
          </w:p>
        </w:tc>
        <w:tc>
          <w:tcPr>
            <w:tcW w:type="dxa" w:w="318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Tableau des bases réécrit : contrat pour l'exécution des tâches dans le périmètre paramétré par le client ; consentement explicite distinct pour les informations particulières traitées de façon incidente ; consentement exprès annuel, jamais activé par défaut, pour tout usage secondaire ; section destinée aux tiers (correspondants) rendue publique</w:t>
            </w:r>
          </w:p>
        </w:tc>
        <w:tc>
          <w:tcPr>
            <w:tcW w:type="dxa" w:w="169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RGPD art. 6 §1 b), art. 7 §4, art. 9 §2 a), art. 14 §5 b) ; CPCE art. L. 32-3 IV et D. 98-5 (esprit du texte, qui vise les fournisseurs de messagerie) ; note CIANum et CNIL de juillet 2026 sur l'IA agentique</w:t>
            </w:r>
          </w:p>
        </w:tc>
      </w:tr>
      <w:tr>
        <w:tc>
          <w:tcPr>
            <w:tcW w:type="dxa" w:w="80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 5</w:t>
            </w:r>
          </w:p>
        </w:tc>
        <w:tc>
          <w:tcPr>
            <w:tcW w:type="dxa" w:w="258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Données sensibles « exclues »</w:t>
            </w:r>
          </w:p>
        </w:tc>
        <w:tc>
          <w:tcPr>
            <w:tcW w:type="dxa" w:w="115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Majeur</w:t>
            </w:r>
          </w:p>
        </w:tc>
        <w:tc>
          <w:tcPr>
            <w:tcW w:type="dxa" w:w="318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Même correction que CGV art. 15 ; ajout de la règle « aucune inférence de santé, d'opinion, d'orientation, de religion »</w:t>
            </w:r>
          </w:p>
        </w:tc>
        <w:tc>
          <w:tcPr>
            <w:tcW w:type="dxa" w:w="169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RGPD art. 9</w:t>
            </w:r>
          </w:p>
        </w:tc>
      </w:tr>
      <w:tr>
        <w:tc>
          <w:tcPr>
            <w:tcW w:type="dxa" w:w="80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 6</w:t>
            </w:r>
          </w:p>
        </w:tc>
        <w:tc>
          <w:tcPr>
            <w:tcW w:type="dxa" w:w="258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Destinataires : liste de catégories, aucun fournisseur nommé</w:t>
            </w:r>
          </w:p>
        </w:tc>
        <w:tc>
          <w:tcPr>
            <w:tcW w:type="dxa" w:w="115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Majeur</w:t>
            </w:r>
          </w:p>
        </w:tc>
        <w:tc>
          <w:tcPr>
            <w:tcW w:type="dxa" w:w="318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Tableau des sous-traitants à compléter avant lancement (nom, rôle, localisation, garanties) ; engagement de publication</w:t>
            </w:r>
          </w:p>
        </w:tc>
        <w:tc>
          <w:tcPr>
            <w:tcW w:type="dxa" w:w="169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RGPD art. 13 §1 e), art. 28</w:t>
            </w:r>
          </w:p>
        </w:tc>
      </w:tr>
      <w:tr>
        <w:tc>
          <w:tcPr>
            <w:tcW w:type="dxa" w:w="80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 7</w:t>
            </w:r>
          </w:p>
        </w:tc>
        <w:tc>
          <w:tcPr>
            <w:tcW w:type="dxa" w:w="258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Transferts : rien d'arrêté</w:t>
            </w:r>
          </w:p>
        </w:tc>
        <w:tc>
          <w:tcPr>
            <w:tcW w:type="dxa" w:w="115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Majeur</w:t>
            </w:r>
          </w:p>
        </w:tc>
        <w:tc>
          <w:tcPr>
            <w:tcW w:type="dxa" w:w="318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Deux options documentées : fournisseurs d'IA et hébergement en UE (cohérent avec la promesse marketing) ; ou fournisseurs américains certifiés au Data Privacy Framework, avec clauses contractuelles types en parallèle tant que le pourvoi contre la décision d'adéquation est pendant</w:t>
            </w:r>
          </w:p>
        </w:tc>
        <w:tc>
          <w:tcPr>
            <w:tcW w:type="dxa" w:w="169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RGPD art. 44 à 46 ; décision d'adéquation (UE) 2023/1795 ; Trib. UE, 3 septembre 2025, T-553/23 Latombe (recours rejeté) ; pourvoi C-703/25 P pendant</w:t>
            </w:r>
          </w:p>
        </w:tc>
      </w:tr>
      <w:tr>
        <w:tc>
          <w:tcPr>
            <w:tcW w:type="dxa" w:w="80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Manque</w:t>
            </w:r>
          </w:p>
        </w:tc>
        <w:tc>
          <w:tcPr>
            <w:tcW w:type="dxa" w:w="258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Analyse d'impact (AIPD) mentionnée comme « lorsque requise »</w:t>
            </w:r>
          </w:p>
        </w:tc>
        <w:tc>
          <w:tcPr>
            <w:tcW w:type="dxa" w:w="115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Bloquant avant tout traitement réel</w:t>
            </w:r>
          </w:p>
        </w:tc>
        <w:tc>
          <w:tcPr>
            <w:tcW w:type="dxa" w:w="318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Déclaré comme requis : au moins trois des neuf critères du CEPD sont réunis (données hautement personnelles, croisement de sources, usage innovant), plus personnes vulnérables avec l'offre Family ; AIPD avant le pilote, même à dix utilisateurs</w:t>
            </w:r>
          </w:p>
        </w:tc>
        <w:tc>
          <w:tcPr>
            <w:tcW w:type="dxa" w:w="169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RGPD art. 35 §1 et §3 ; critères CEPD repris par la CNIL ; fiche CNIL IA n° 5 (avril 2024)</w:t>
            </w:r>
          </w:p>
        </w:tc>
      </w:tr>
      <w:tr>
        <w:tc>
          <w:tcPr>
            <w:tcW w:type="dxa" w:w="80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 8</w:t>
            </w:r>
          </w:p>
        </w:tc>
        <w:tc>
          <w:tcPr>
            <w:tcW w:type="dxa" w:w="258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Durées : raisonnables</w:t>
            </w:r>
          </w:p>
        </w:tc>
        <w:tc>
          <w:tcPr>
            <w:tcW w:type="dxa" w:w="115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Conforme</w:t>
            </w:r>
          </w:p>
        </w:tc>
        <w:tc>
          <w:tcPr>
            <w:tcW w:type="dxa" w:w="318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Ajout : les journaux d'actions sont conservés 12 mois (preuve) puis anonymisés</w:t>
            </w:r>
          </w:p>
        </w:tc>
        <w:tc>
          <w:tcPr>
            <w:tcW w:type="dxa" w:w="169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RGPD art. 5 §1 e)</w:t>
            </w:r>
          </w:p>
        </w:tc>
      </w:tr>
      <w:tr>
        <w:tc>
          <w:tcPr>
            <w:tcW w:type="dxa" w:w="80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 9</w:t>
            </w:r>
          </w:p>
        </w:tc>
        <w:tc>
          <w:tcPr>
            <w:tcW w:type="dxa" w:w="258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Droits : complets, y compris directives post-mortem</w:t>
            </w:r>
          </w:p>
        </w:tc>
        <w:tc>
          <w:tcPr>
            <w:tcW w:type="dxa" w:w="115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Conforme</w:t>
            </w:r>
          </w:p>
        </w:tc>
        <w:tc>
          <w:tcPr>
            <w:tcW w:type="dxa" w:w="318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Aucun changement</w:t>
            </w:r>
          </w:p>
        </w:tc>
        <w:tc>
          <w:tcPr>
            <w:tcW w:type="dxa" w:w="169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Loi Informatique et Libertés art. 85</w:t>
            </w:r>
          </w:p>
        </w:tc>
      </w:tr>
      <w:tr>
        <w:tc>
          <w:tcPr>
            <w:tcW w:type="dxa" w:w="80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Manque</w:t>
            </w:r>
          </w:p>
        </w:tc>
        <w:tc>
          <w:tcPr>
            <w:tcW w:type="dxa" w:w="258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Traceurs : à préciser ; décisions automatisées : la confirmation humaine avant exécution est précisément ce qui fait sortir les tâches du champ de l'article 22, à condition qu'elle soit réelle et non formelle</w:t>
            </w:r>
          </w:p>
        </w:tc>
        <w:tc>
          <w:tcPr>
            <w:tcW w:type="dxa" w:w="115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Mineur</w:t>
            </w:r>
          </w:p>
        </w:tc>
        <w:tc>
          <w:tcPr>
            <w:tcW w:type="dxa" w:w="318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Renvoi à une politique cookies distincte ; clause art. 22 complétée ; la charte documente le caractère réel de la validation</w:t>
            </w:r>
          </w:p>
        </w:tc>
        <w:tc>
          <w:tcPr>
            <w:tcW w:type="dxa" w:w="169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Directive 2002/58/CE art. 5 §3 ; RGPD art. 22 ; CJUE, SCHUFA (cité par la note CIANum)</w:t>
            </w:r>
          </w:p>
        </w:tc>
      </w:tr>
      <w:tr>
        <w:tc>
          <w:tcPr>
            <w:tcW w:type="dxa" w:w="80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Manque</w:t>
            </w:r>
          </w:p>
        </w:tc>
        <w:tc>
          <w:tcPr>
            <w:tcW w:type="dxa" w:w="258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Délégué à la protection des données : « aucun DPO nommé »</w:t>
            </w:r>
          </w:p>
        </w:tc>
        <w:tc>
          <w:tcPr>
            <w:tcW w:type="dxa" w:w="115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Majeur</w:t>
            </w:r>
          </w:p>
        </w:tc>
        <w:tc>
          <w:tcPr>
            <w:tcW w:type="dxa" w:w="318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Non obligatoire au stade du MVP (pas de grande échelle), obligatoire dès la montée en charge ; désignation volontaire recommandée dès le pilote, à défaut un référent nommé</w:t>
            </w:r>
          </w:p>
        </w:tc>
        <w:tc>
          <w:tcPr>
            <w:tcW w:type="dxa" w:w="169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RGPD art. 37 §1 b) et c) ; CNIL</w:t>
            </w:r>
          </w:p>
        </w:tc>
      </w:tr>
    </w:tbl>
    <w:p>
      <w:pPr>
        <w:spacing w:after="40"/>
      </w:pPr>
    </w:p>
    <w:p>
      <w:pPr>
        <w:pStyle w:val="Heading2"/>
      </w:pPr>
      <w:r>
        <w:t>2.4 Politique interne de protection des données (projet 1.0)</w:t>
      </w:r>
    </w:p>
    <w:tbl>
      <w:tblPr>
        <w:tblW w:type="auto" w:w="0"/>
        <w:jc w:val="center"/>
        <w:tblLayout w:type="fixed"/>
        <w:tblLook w:firstColumn="1" w:firstRow="1" w:lastColumn="0" w:lastRow="0" w:noHBand="0" w:noVBand="1" w:val="04A0"/>
      </w:tblPr>
      <w:tblGrid>
        <w:gridCol w:w="828"/>
        <w:gridCol w:w="2600"/>
        <w:gridCol w:w="993"/>
        <w:gridCol w:w="3175"/>
        <w:gridCol w:w="1815"/>
      </w:tblGrid>
      <w:tr>
        <w:tc>
          <w:tcPr>
            <w:tcW w:type="dxa" w:w="828"/>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7"/>
              </w:rPr>
              <w:t>Réf.</w:t>
            </w:r>
          </w:p>
        </w:tc>
        <w:tc>
          <w:tcPr>
            <w:tcW w:type="dxa" w:w="2600"/>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7"/>
              </w:rPr>
              <w:t>Constat</w:t>
            </w:r>
          </w:p>
        </w:tc>
        <w:tc>
          <w:tcPr>
            <w:tcW w:type="dxa" w:w="993"/>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7"/>
              </w:rPr>
              <w:t>Gravité</w:t>
            </w:r>
          </w:p>
        </w:tc>
        <w:tc>
          <w:tcPr>
            <w:tcW w:type="dxa" w:w="3175"/>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7"/>
              </w:rPr>
              <w:t>Correction apportée en V2</w:t>
            </w:r>
          </w:p>
        </w:tc>
        <w:tc>
          <w:tcPr>
            <w:tcW w:type="dxa" w:w="1815"/>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7"/>
              </w:rPr>
              <w:t>Base</w:t>
            </w:r>
          </w:p>
        </w:tc>
      </w:tr>
      <w:tr>
        <w:tc>
          <w:tcPr>
            <w:tcW w:type="dxa" w:w="828"/>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 3</w:t>
            </w:r>
          </w:p>
        </w:tc>
        <w:tc>
          <w:tcPr>
            <w:tcW w:type="dxa" w:w="260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Validation préalable : correcte</w:t>
            </w:r>
          </w:p>
        </w:tc>
        <w:tc>
          <w:tcPr>
            <w:tcW w:type="dxa" w:w="99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Conforme</w:t>
            </w:r>
          </w:p>
        </w:tc>
        <w:tc>
          <w:tcPr>
            <w:tcW w:type="dxa" w:w="317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Ajout : registre des traitements obligatoire dès le premier traitement non occasionnel</w:t>
            </w:r>
          </w:p>
        </w:tc>
        <w:tc>
          <w:tcPr>
            <w:tcW w:type="dxa" w:w="181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RGPD art. 30 (l'exemption sous 250 salariés ne s'applique pas à un traitement régulier)</w:t>
            </w:r>
          </w:p>
        </w:tc>
      </w:tr>
      <w:tr>
        <w:tc>
          <w:tcPr>
            <w:tcW w:type="dxa" w:w="828"/>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 5</w:t>
            </w:r>
          </w:p>
        </w:tc>
        <w:tc>
          <w:tcPr>
            <w:tcW w:type="dxa" w:w="260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Outils d'IA : correct</w:t>
            </w:r>
          </w:p>
        </w:tc>
        <w:tc>
          <w:tcPr>
            <w:tcW w:type="dxa" w:w="99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Conforme</w:t>
            </w:r>
          </w:p>
        </w:tc>
        <w:tc>
          <w:tcPr>
            <w:tcW w:type="dxa" w:w="317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Ajout : formation à la maîtrise de l'IA pour toute personne qui conçoit ou opère les agents, avec trace de la formation</w:t>
            </w:r>
          </w:p>
        </w:tc>
        <w:tc>
          <w:tcPr>
            <w:tcW w:type="dxa" w:w="181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Règlement (UE) 2024/1689, art. 4 (depuis le 2 février 2025)</w:t>
            </w:r>
          </w:p>
        </w:tc>
      </w:tr>
      <w:tr>
        <w:tc>
          <w:tcPr>
            <w:tcW w:type="dxa" w:w="828"/>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 6</w:t>
            </w:r>
          </w:p>
        </w:tc>
        <w:tc>
          <w:tcPr>
            <w:tcW w:type="dxa" w:w="260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Sous-traitants : correct</w:t>
            </w:r>
          </w:p>
        </w:tc>
        <w:tc>
          <w:tcPr>
            <w:tcW w:type="dxa" w:w="99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Conforme</w:t>
            </w:r>
          </w:p>
        </w:tc>
        <w:tc>
          <w:tcPr>
            <w:tcW w:type="dxa" w:w="317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Ajout d'une liste minimale des clauses à exiger des fournisseurs d'IA (pas d'entraînement, suppression à 30 jours, localisation, sous-traitants ultérieurs, audit)</w:t>
            </w:r>
          </w:p>
        </w:tc>
        <w:tc>
          <w:tcPr>
            <w:tcW w:type="dxa" w:w="181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RGPD art. 28 §3</w:t>
            </w:r>
          </w:p>
        </w:tc>
      </w:tr>
      <w:tr>
        <w:tc>
          <w:tcPr>
            <w:tcW w:type="dxa" w:w="828"/>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 9</w:t>
            </w:r>
          </w:p>
        </w:tc>
        <w:tc>
          <w:tcPr>
            <w:tcW w:type="dxa" w:w="260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Incidents : correct</w:t>
            </w:r>
          </w:p>
        </w:tc>
        <w:tc>
          <w:tcPr>
            <w:tcW w:type="dxa" w:w="99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Conforme</w:t>
            </w:r>
          </w:p>
        </w:tc>
        <w:tc>
          <w:tcPr>
            <w:tcW w:type="dxa" w:w="317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Ajout du délai de 72 heures et du modèle de registre des violations</w:t>
            </w:r>
          </w:p>
        </w:tc>
        <w:tc>
          <w:tcPr>
            <w:tcW w:type="dxa" w:w="181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RGPD art. 33, 34</w:t>
            </w:r>
          </w:p>
        </w:tc>
      </w:tr>
      <w:tr>
        <w:tc>
          <w:tcPr>
            <w:tcW w:type="dxa" w:w="828"/>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Manque</w:t>
            </w:r>
          </w:p>
        </w:tc>
        <w:tc>
          <w:tcPr>
            <w:tcW w:type="dxa" w:w="260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Pas de politique de sécurité (PSSI) minimale ni de gestion des accès aux comptes Google des clients</w:t>
            </w:r>
          </w:p>
        </w:tc>
        <w:tc>
          <w:tcPr>
            <w:tcW w:type="dxa" w:w="99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Majeur</w:t>
            </w:r>
          </w:p>
        </w:tc>
        <w:tc>
          <w:tcPr>
            <w:tcW w:type="dxa" w:w="317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Section ajoutée : jetons OAuth chiffrés, rotation, révocation à la résiliation, journal d'accès, séparation des environnements</w:t>
            </w:r>
          </w:p>
        </w:tc>
        <w:tc>
          <w:tcPr>
            <w:tcW w:type="dxa" w:w="181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RGPD art. 32 ; conditions des API Google (scopes restreints)</w:t>
            </w:r>
          </w:p>
        </w:tc>
      </w:tr>
      <w:tr>
        <w:tc>
          <w:tcPr>
            <w:tcW w:type="dxa" w:w="828"/>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Manque</w:t>
            </w:r>
          </w:p>
        </w:tc>
        <w:tc>
          <w:tcPr>
            <w:tcW w:type="dxa" w:w="260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Règles des plateformes non traitées : Apple exige depuis novembre 2025 une information explicite et une permission de l'utilisateur avant tout partage de données personnelles avec une IA tierce (App Review 5.1.2 i) ; Google Play interdit l'API d'accessibilité aux applications qui exécutent des actions de façon autonome ; Google impose pour les scopes Gmail restreints une vérification et une évaluation de sécurité CASA Tier 2 annuelle (laboratoires 540 à 3 000 $ et plus, 4 à 6 semaines)</w:t>
            </w:r>
          </w:p>
        </w:tc>
        <w:tc>
          <w:tcPr>
            <w:tcW w:type="dxa" w:w="99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Majeur</w:t>
            </w:r>
          </w:p>
        </w:tc>
        <w:tc>
          <w:tcPr>
            <w:tcW w:type="dxa" w:w="317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Ajout dans la politique interne : écran de consentement avant tout envoi de contenu de courriel ou d'agenda à un fournisseur de modèles, mention du fournisseur et de sa localisation ; automatisation Android par API et parcours utilisateur, jamais par services d'accessibilité ; dossier Google déposé en M2 avec budget</w:t>
            </w:r>
          </w:p>
        </w:tc>
        <w:tc>
          <w:tcPr>
            <w:tcW w:type="dxa" w:w="181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Apple App Review Guidelines 5.1.2 (i) (2025) ; Google Play, politique des permissions sensibles (2026) ; Google API Services User Data Policy, CASA (sources dans l'analyse de marché, § 5)</w:t>
            </w:r>
          </w:p>
        </w:tc>
      </w:tr>
    </w:tbl>
    <w:p>
      <w:pPr>
        <w:spacing w:after="40"/>
      </w:pPr>
    </w:p>
    <w:p>
      <w:pPr>
        <w:pStyle w:val="Heading2"/>
      </w:pPr>
      <w:r>
        <w:t>2.5 Charte d'exécution des agents IA (projet 1.0)</w:t>
      </w:r>
    </w:p>
    <w:tbl>
      <w:tblPr>
        <w:tblW w:type="auto" w:w="0"/>
        <w:jc w:val="center"/>
        <w:tblLayout w:type="fixed"/>
        <w:tblLook w:firstColumn="1" w:firstRow="1" w:lastColumn="0" w:lastRow="0" w:noHBand="0" w:noVBand="1" w:val="04A0"/>
      </w:tblPr>
      <w:tblGrid>
        <w:gridCol w:w="841"/>
        <w:gridCol w:w="2604"/>
        <w:gridCol w:w="1009"/>
        <w:gridCol w:w="3748"/>
        <w:gridCol w:w="1211"/>
      </w:tblGrid>
      <w:tr>
        <w:tc>
          <w:tcPr>
            <w:tcW w:type="dxa" w:w="841"/>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7"/>
              </w:rPr>
              <w:t>Réf.</w:t>
            </w:r>
          </w:p>
        </w:tc>
        <w:tc>
          <w:tcPr>
            <w:tcW w:type="dxa" w:w="2604"/>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7"/>
              </w:rPr>
              <w:t>Constat</w:t>
            </w:r>
          </w:p>
        </w:tc>
        <w:tc>
          <w:tcPr>
            <w:tcW w:type="dxa" w:w="1009"/>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7"/>
              </w:rPr>
              <w:t>Gravité</w:t>
            </w:r>
          </w:p>
        </w:tc>
        <w:tc>
          <w:tcPr>
            <w:tcW w:type="dxa" w:w="3748"/>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7"/>
              </w:rPr>
              <w:t>Correction apportée en V2</w:t>
            </w:r>
          </w:p>
        </w:tc>
        <w:tc>
          <w:tcPr>
            <w:tcW w:type="dxa" w:w="1211"/>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7"/>
              </w:rPr>
              <w:t>Base</w:t>
            </w:r>
          </w:p>
        </w:tc>
      </w:tr>
      <w:tr>
        <w:tc>
          <w:tcPr>
            <w:tcW w:type="dxa" w:w="84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 2</w:t>
            </w:r>
          </w:p>
        </w:tc>
        <w:tc>
          <w:tcPr>
            <w:tcW w:type="dxa" w:w="260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Niveaux d'autonomie : cohérents avec le cadrage MVP et les CGV</w:t>
            </w:r>
          </w:p>
        </w:tc>
        <w:tc>
          <w:tcPr>
            <w:tcW w:type="dxa" w:w="100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Conforme</w:t>
            </w:r>
          </w:p>
        </w:tc>
        <w:tc>
          <w:tcPr>
            <w:tcW w:type="dxa" w:w="3748"/>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Aucun changement</w:t>
            </w:r>
          </w:p>
        </w:tc>
        <w:tc>
          <w:tcPr>
            <w:tcW w:type="dxa" w:w="1211"/>
            <w:tcMar>
              <w:top w:w="60" w:type="dxa"/>
              <w:bottom w:w="60" w:type="dxa"/>
              <w:start w:w="90" w:type="dxa"/>
              <w:end w:w="90" w:type="dxa"/>
            </w:tcMar>
            <w:tcBorders>
              <w:top w:val="nil"/>
              <w:left w:val="nil"/>
              <w:bottom w:val="single" w:sz="4" w:color="E4DDD2"/>
              <w:right w:val="nil"/>
            </w:tcBorders>
          </w:tcPr>
          <w:p>
            <w:pPr>
              <w:spacing w:after="0" w:line="252" w:lineRule="auto"/>
            </w:pPr>
            <w:r/>
          </w:p>
        </w:tc>
      </w:tr>
      <w:tr>
        <w:tc>
          <w:tcPr>
            <w:tcW w:type="dxa" w:w="84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 2</w:t>
            </w:r>
          </w:p>
        </w:tc>
        <w:tc>
          <w:tcPr>
            <w:tcW w:type="dxa" w:w="260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Le niveau « automatique » inclut la lecture des courriels sans borne</w:t>
            </w:r>
          </w:p>
        </w:tc>
        <w:tc>
          <w:tcPr>
            <w:tcW w:type="dxa" w:w="100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Majeur</w:t>
            </w:r>
          </w:p>
        </w:tc>
        <w:tc>
          <w:tcPr>
            <w:tcW w:type="dxa" w:w="3748"/>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Ajout : la lecture est bornée par périmètre (libellés, dossiers, fenêtre glissante) et par volume ; tout élargissement est une nouvelle autorisation</w:t>
            </w:r>
          </w:p>
        </w:tc>
        <w:tc>
          <w:tcPr>
            <w:tcW w:type="dxa" w:w="121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RGPD art. 5 §1 c)</w:t>
            </w:r>
          </w:p>
        </w:tc>
      </w:tr>
      <w:tr>
        <w:tc>
          <w:tcPr>
            <w:tcW w:type="dxa" w:w="84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 5</w:t>
            </w:r>
          </w:p>
        </w:tc>
        <w:tc>
          <w:tcPr>
            <w:tcW w:type="dxa" w:w="260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Instructions externes : excellent (les contenus sont des données, pas des instructions)</w:t>
            </w:r>
          </w:p>
        </w:tc>
        <w:tc>
          <w:tcPr>
            <w:tcW w:type="dxa" w:w="100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Conforme</w:t>
            </w:r>
          </w:p>
        </w:tc>
        <w:tc>
          <w:tcPr>
            <w:tcW w:type="dxa" w:w="3748"/>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Ajout d'une règle de « double validation » si un contenu lu demande une action vers un tiers inconnu ; reprise des recommandations CIANum et CNIL de juillet 2026 (classification des actions par risque, validation humaine réelle, bouton d'arrêt, journal par tâche, mémoire isolée)</w:t>
            </w:r>
          </w:p>
        </w:tc>
        <w:tc>
          <w:tcPr>
            <w:tcW w:type="dxa" w:w="121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Note CIANum et CNIL, « IA agentique et protection des données », juillet 2026</w:t>
            </w:r>
          </w:p>
        </w:tc>
      </w:tr>
      <w:tr>
        <w:tc>
          <w:tcPr>
            <w:tcW w:type="dxa" w:w="84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Manque</w:t>
            </w:r>
          </w:p>
        </w:tc>
        <w:tc>
          <w:tcPr>
            <w:tcW w:type="dxa" w:w="260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Pas de budget d'actions ni de coupe-circuit chiffré</w:t>
            </w:r>
          </w:p>
        </w:tc>
        <w:tc>
          <w:tcPr>
            <w:tcW w:type="dxa" w:w="100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Majeur</w:t>
            </w:r>
          </w:p>
        </w:tc>
        <w:tc>
          <w:tcPr>
            <w:tcW w:type="dxa" w:w="3748"/>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Ajout : plafond d'actions par jour et par utilisateur, arrêt automatique au-delà, arrêt global en cas d'incident</w:t>
            </w:r>
          </w:p>
        </w:tc>
        <w:tc>
          <w:tcPr>
            <w:tcW w:type="dxa" w:w="121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Bonne pratique</w:t>
            </w:r>
          </w:p>
        </w:tc>
      </w:tr>
      <w:tr>
        <w:tc>
          <w:tcPr>
            <w:tcW w:type="dxa" w:w="84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Manque</w:t>
            </w:r>
          </w:p>
        </w:tc>
        <w:tc>
          <w:tcPr>
            <w:tcW w:type="dxa" w:w="260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Pas de mention de la transparence IA vis-à-vis des tiers destinataires ; les courriels rédigés par l'agent sont des contenus synthétiques dont le marquage lisible par machine incombe au fournisseur du système</w:t>
            </w:r>
          </w:p>
        </w:tc>
        <w:tc>
          <w:tcPr>
            <w:tcW w:type="dxa" w:w="100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Majeur</w:t>
            </w:r>
          </w:p>
        </w:tc>
        <w:tc>
          <w:tcPr>
            <w:tcW w:type="dxa" w:w="3748"/>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Ajout : marquage technique (en-tête) de tout message généré ; aucune prétention d'écriture sans assistance ; option de mention visible ; interdiction de signer un acte et d'accomplir un acte de disposition</w:t>
            </w:r>
          </w:p>
        </w:tc>
        <w:tc>
          <w:tcPr>
            <w:tcW w:type="dxa" w:w="121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7"/>
              </w:rPr>
              <w:t>Règlement (UE) 2024/1689, art. 50 §2 ; C. civ. art. 1367, 1988</w:t>
            </w:r>
          </w:p>
        </w:tc>
      </w:tr>
    </w:tbl>
    <w:p>
      <w:pPr>
        <w:spacing w:after="40"/>
      </w:pPr>
    </w:p>
    <w:p>
      <w:pPr>
        <w:pStyle w:val="Heading1"/>
        <w:pBdr>
          <w:bottom w:val="single" w:sz="10" w:space="4" w:color="F0916A"/>
        </w:pBdr>
      </w:pPr>
      <w:r>
        <w:t>3. Points à trancher par la Direction avant toute mise à jour définitive</w:t>
      </w:r>
    </w:p>
    <w:p>
      <w:pPr>
        <w:spacing w:after="60"/>
        <w:ind w:left="425" w:hanging="425"/>
      </w:pPr>
      <w:r>
        <w:rPr>
          <w:b/>
        </w:rPr>
        <w:t>1.</w:t>
        <w:tab/>
      </w:r>
      <w:r>
        <w:rPr>
          <w:b/>
        </w:rPr>
        <w:t>D-01.</w:t>
      </w:r>
      <w:r>
        <w:t xml:space="preserve"> Création ou non ; fondateurs associés ; répartition initiale. Sans cela, les statuts V2 restent un gabarit.</w:t>
      </w:r>
    </w:p>
    <w:p>
      <w:pPr>
        <w:spacing w:after="60"/>
        <w:ind w:left="425" w:hanging="425"/>
      </w:pPr>
      <w:r>
        <w:rPr>
          <w:b/>
        </w:rPr>
        <w:t>2.</w:t>
        <w:tab/>
      </w:r>
      <w:r>
        <w:rPr>
          <w:b/>
        </w:rPr>
        <w:t>Hébergement et fournisseurs d'IA.</w:t>
      </w:r>
      <w:r>
        <w:t xml:space="preserve"> Tout UE (Mistral, Scaleway, OVHcloud, régions UE des hyperscalers) ou mix avec fournisseurs américains sous DPF. La promesse marketing en dépend.</w:t>
      </w:r>
    </w:p>
    <w:p>
      <w:pPr>
        <w:spacing w:after="60"/>
        <w:ind w:left="425" w:hanging="425"/>
      </w:pPr>
      <w:r>
        <w:rPr>
          <w:b/>
        </w:rPr>
        <w:t>3.</w:t>
        <w:tab/>
      </w:r>
      <w:r>
        <w:rPr>
          <w:b/>
        </w:rPr>
        <w:t>Périmètre de la mission 5 (voyages).</w:t>
      </w:r>
      <w:r>
        <w:t xml:space="preserve"> Préparation seule dans le MVP, ou avis juridique sur l'immatriculation Atout France avant toute réservation par Helium.</w:t>
      </w:r>
    </w:p>
    <w:p>
      <w:pPr>
        <w:spacing w:after="60"/>
        <w:ind w:left="425" w:hanging="425"/>
      </w:pPr>
      <w:r>
        <w:rPr>
          <w:b/>
        </w:rPr>
        <w:t>4.</w:t>
        <w:tab/>
      </w:r>
      <w:r>
        <w:rPr>
          <w:b/>
        </w:rPr>
        <w:t>Nom.</w:t>
      </w:r>
      <w:r>
        <w:t xml:space="preserve"> Recherche d'antériorité « Helium » avant de modifier la dénomination dans tous les textes.</w:t>
      </w:r>
    </w:p>
    <w:p>
      <w:pPr>
        <w:spacing w:after="60"/>
        <w:ind w:left="425" w:hanging="425"/>
      </w:pPr>
      <w:r>
        <w:rPr>
          <w:b/>
        </w:rPr>
        <w:t>5.</w:t>
        <w:tab/>
      </w:r>
      <w:r>
        <w:rPr>
          <w:b/>
        </w:rPr>
        <w:t>DPO.</w:t>
      </w:r>
      <w:r>
        <w:t xml:space="preserve"> Désignation d'un DPO externe mutualisé (coût indicatif de quelques centaines d'euros par mois) ou référent interne.</w:t>
      </w:r>
    </w:p>
    <w:p>
      <w:pPr>
        <w:pStyle w:val="Heading1"/>
        <w:pBdr>
          <w:bottom w:val="single" w:sz="10" w:space="4" w:color="F0916A"/>
        </w:pBdr>
      </w:pPr>
      <w:r>
        <w:t>4. Documents manquants, par ordre de priorité</w:t>
      </w:r>
    </w:p>
    <w:tbl>
      <w:tblPr>
        <w:tblW w:type="auto" w:w="0"/>
        <w:jc w:val="center"/>
        <w:tblLayout w:type="fixed"/>
        <w:tblLook w:firstColumn="1" w:firstRow="1" w:lastColumn="0" w:lastRow="0" w:noHBand="0" w:noVBand="1" w:val="04A0"/>
      </w:tblPr>
      <w:tblGrid>
        <w:gridCol w:w="1031"/>
        <w:gridCol w:w="4109"/>
        <w:gridCol w:w="2629"/>
        <w:gridCol w:w="1643"/>
      </w:tblGrid>
      <w:tr>
        <w:tc>
          <w:tcPr>
            <w:tcW w:type="dxa" w:w="1031"/>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8"/>
              </w:rPr>
              <w:t>Priorité</w:t>
            </w:r>
          </w:p>
        </w:tc>
        <w:tc>
          <w:tcPr>
            <w:tcW w:type="dxa" w:w="4109"/>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8"/>
              </w:rPr>
              <w:t>Document</w:t>
            </w:r>
          </w:p>
        </w:tc>
        <w:tc>
          <w:tcPr>
            <w:tcW w:type="dxa" w:w="2629"/>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8"/>
              </w:rPr>
              <w:t>Pourquoi</w:t>
            </w:r>
          </w:p>
        </w:tc>
        <w:tc>
          <w:tcPr>
            <w:tcW w:type="dxa" w:w="1643"/>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8"/>
              </w:rPr>
              <w:t>Quand</w:t>
            </w:r>
          </w:p>
        </w:tc>
      </w:tr>
      <w:tr>
        <w:tc>
          <w:tcPr>
            <w:tcW w:type="dxa" w:w="103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1</w:t>
            </w:r>
          </w:p>
        </w:tc>
        <w:tc>
          <w:tcPr>
            <w:tcW w:type="dxa" w:w="410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Accord de confidentialité et de propriété intellectuelle entre les six fondateurs (pré-société)</w:t>
            </w:r>
          </w:p>
        </w:tc>
        <w:tc>
          <w:tcPr>
            <w:tcW w:type="dxa" w:w="262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Sans lui, le code et la marque appartiennent à ceux qui les créent, pas au projet</w:t>
            </w:r>
          </w:p>
        </w:tc>
        <w:tc>
          <w:tcPr>
            <w:tcW w:type="dxa" w:w="164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Semaine 1</w:t>
            </w:r>
          </w:p>
        </w:tc>
      </w:tr>
      <w:tr>
        <w:tc>
          <w:tcPr>
            <w:tcW w:type="dxa" w:w="103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2</w:t>
            </w:r>
          </w:p>
        </w:tc>
        <w:tc>
          <w:tcPr>
            <w:tcW w:type="dxa" w:w="410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Conditions du pilote payant (contrat de test)</w:t>
            </w:r>
          </w:p>
        </w:tc>
        <w:tc>
          <w:tcPr>
            <w:tcW w:type="dxa" w:w="262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Le pilote vend un service en pré-version : information renforcée, limites, données, résiliation immédiate, 14 jours satisfait ou remboursé</w:t>
            </w:r>
          </w:p>
        </w:tc>
        <w:tc>
          <w:tcPr>
            <w:tcW w:type="dxa" w:w="164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Avant J+31</w:t>
            </w:r>
          </w:p>
        </w:tc>
      </w:tr>
      <w:tr>
        <w:tc>
          <w:tcPr>
            <w:tcW w:type="dxa" w:w="103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3</w:t>
            </w:r>
          </w:p>
        </w:tc>
        <w:tc>
          <w:tcPr>
            <w:tcW w:type="dxa" w:w="410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Formulaire de consentement aux entretiens (enregistrement, anonymisation)</w:t>
            </w:r>
          </w:p>
        </w:tc>
        <w:tc>
          <w:tcPr>
            <w:tcW w:type="dxa" w:w="262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Les comptes rendus deviennent des sources du dépôt</w:t>
            </w:r>
          </w:p>
        </w:tc>
        <w:tc>
          <w:tcPr>
            <w:tcW w:type="dxa" w:w="164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Avant le premier entretien</w:t>
            </w:r>
          </w:p>
        </w:tc>
      </w:tr>
      <w:tr>
        <w:tc>
          <w:tcPr>
            <w:tcW w:type="dxa" w:w="103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4</w:t>
            </w:r>
          </w:p>
        </w:tc>
        <w:tc>
          <w:tcPr>
            <w:tcW w:type="dxa" w:w="410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Analyse d'impact (AIPD)</w:t>
            </w:r>
          </w:p>
        </w:tc>
        <w:tc>
          <w:tcPr>
            <w:tcW w:type="dxa" w:w="262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Obligatoire avant le traitement ; structure CNIL</w:t>
            </w:r>
          </w:p>
        </w:tc>
        <w:tc>
          <w:tcPr>
            <w:tcW w:type="dxa" w:w="164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Avant le pilote</w:t>
            </w:r>
          </w:p>
        </w:tc>
      </w:tr>
      <w:tr>
        <w:tc>
          <w:tcPr>
            <w:tcW w:type="dxa" w:w="103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5</w:t>
            </w:r>
          </w:p>
        </w:tc>
        <w:tc>
          <w:tcPr>
            <w:tcW w:type="dxa" w:w="410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Registre des traitements</w:t>
            </w:r>
          </w:p>
        </w:tc>
        <w:tc>
          <w:tcPr>
            <w:tcW w:type="dxa" w:w="262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Obligatoire</w:t>
            </w:r>
          </w:p>
        </w:tc>
        <w:tc>
          <w:tcPr>
            <w:tcW w:type="dxa" w:w="164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Avant le pilote</w:t>
            </w:r>
          </w:p>
        </w:tc>
      </w:tr>
      <w:tr>
        <w:tc>
          <w:tcPr>
            <w:tcW w:type="dxa" w:w="103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6</w:t>
            </w:r>
          </w:p>
        </w:tc>
        <w:tc>
          <w:tcPr>
            <w:tcW w:type="dxa" w:w="410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Contrats de sous-traitance (art. 28) avec hébergeur, fournisseurs d'IA, paiement</w:t>
            </w:r>
          </w:p>
        </w:tc>
        <w:tc>
          <w:tcPr>
            <w:tcW w:type="dxa" w:w="262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Obligatoire</w:t>
            </w:r>
          </w:p>
        </w:tc>
        <w:tc>
          <w:tcPr>
            <w:tcW w:type="dxa" w:w="164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Avant le pilote</w:t>
            </w:r>
          </w:p>
        </w:tc>
      </w:tr>
      <w:tr>
        <w:tc>
          <w:tcPr>
            <w:tcW w:type="dxa" w:w="103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7</w:t>
            </w:r>
          </w:p>
        </w:tc>
        <w:tc>
          <w:tcPr>
            <w:tcW w:type="dxa" w:w="410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Mentions légales (article 1-1 de la loi 2004-575, R. 123-237 C. com.) et politique cookies du site</w:t>
            </w:r>
          </w:p>
        </w:tc>
        <w:tc>
          <w:tcPr>
            <w:tcW w:type="dxa" w:w="262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Obligatoires à l'ouverture du site</w:t>
            </w:r>
          </w:p>
        </w:tc>
        <w:tc>
          <w:tcPr>
            <w:tcW w:type="dxa" w:w="164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Avant les pages d'atterrissage</w:t>
            </w:r>
          </w:p>
        </w:tc>
      </w:tr>
      <w:tr>
        <w:tc>
          <w:tcPr>
            <w:tcW w:type="dxa" w:w="103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8</w:t>
            </w:r>
          </w:p>
        </w:tc>
        <w:tc>
          <w:tcPr>
            <w:tcW w:type="dxa" w:w="410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Pacte d'associés (vesting 4 ans avec cliff 1 an, good et bad leaver, non-concurrence, drag et tag, gouvernance)</w:t>
            </w:r>
          </w:p>
        </w:tc>
        <w:tc>
          <w:tcPr>
            <w:tcW w:type="dxa" w:w="262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Avant tout argent externe</w:t>
            </w:r>
          </w:p>
        </w:tc>
        <w:tc>
          <w:tcPr>
            <w:tcW w:type="dxa" w:w="164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En cas de go</w:t>
            </w:r>
          </w:p>
        </w:tc>
      </w:tr>
      <w:tr>
        <w:tc>
          <w:tcPr>
            <w:tcW w:type="dxa" w:w="103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9</w:t>
            </w:r>
          </w:p>
        </w:tc>
        <w:tc>
          <w:tcPr>
            <w:tcW w:type="dxa" w:w="410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Acte de cession de droits de propriété intellectuelle à la société</w:t>
            </w:r>
          </w:p>
        </w:tc>
        <w:tc>
          <w:tcPr>
            <w:tcW w:type="dxa" w:w="262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Formalisme strict</w:t>
            </w:r>
          </w:p>
        </w:tc>
        <w:tc>
          <w:tcPr>
            <w:tcW w:type="dxa" w:w="164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À la constitution</w:t>
            </w:r>
          </w:p>
        </w:tc>
      </w:tr>
      <w:tr>
        <w:tc>
          <w:tcPr>
            <w:tcW w:type="dxa" w:w="103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10</w:t>
            </w:r>
          </w:p>
        </w:tc>
        <w:tc>
          <w:tcPr>
            <w:tcW w:type="dxa" w:w="410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Dossier de vérification Google (scopes restreints Gmail, évaluation CASA Tier 2 annuelle, 540 à 3 000 $ et plus, 4 à 6 semaines) et écran de consentement Apple 5.1.2 (i) avant tout partage de données avec une IA tierce</w:t>
            </w:r>
          </w:p>
        </w:tc>
        <w:tc>
          <w:tcPr>
            <w:tcW w:type="dxa" w:w="262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Conditions d'accès aux courriels et de distribution sur iOS</w:t>
            </w:r>
          </w:p>
        </w:tc>
        <w:tc>
          <w:tcPr>
            <w:tcW w:type="dxa" w:w="164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Dès M2</w:t>
            </w:r>
          </w:p>
        </w:tc>
      </w:tr>
      <w:tr>
        <w:tc>
          <w:tcPr>
            <w:tcW w:type="dxa" w:w="103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11</w:t>
            </w:r>
          </w:p>
        </w:tc>
        <w:tc>
          <w:tcPr>
            <w:tcW w:type="dxa" w:w="410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Procédures internes : exercice des droits, violation de données, revue des accès</w:t>
            </w:r>
          </w:p>
        </w:tc>
        <w:tc>
          <w:tcPr>
            <w:tcW w:type="dxa" w:w="262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Obligatoires en pratique</w:t>
            </w:r>
          </w:p>
        </w:tc>
        <w:tc>
          <w:tcPr>
            <w:tcW w:type="dxa" w:w="164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Avant le pilote</w:t>
            </w:r>
          </w:p>
        </w:tc>
      </w:tr>
      <w:tr>
        <w:tc>
          <w:tcPr>
            <w:tcW w:type="dxa" w:w="103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12</w:t>
            </w:r>
          </w:p>
        </w:tc>
        <w:tc>
          <w:tcPr>
            <w:tcW w:type="dxa" w:w="410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Attestation de formation à l'IA (art. 4 du règlement)</w:t>
            </w:r>
          </w:p>
        </w:tc>
        <w:tc>
          <w:tcPr>
            <w:tcW w:type="dxa" w:w="262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Obligatoire pour les opérateurs</w:t>
            </w:r>
          </w:p>
        </w:tc>
        <w:tc>
          <w:tcPr>
            <w:tcW w:type="dxa" w:w="164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Avant le pilote</w:t>
            </w:r>
          </w:p>
        </w:tc>
      </w:tr>
    </w:tbl>
    <w:p>
      <w:pPr>
        <w:spacing w:after="40"/>
      </w:pPr>
    </w:p>
    <w:p>
      <w:pPr>
        <w:pStyle w:val="Heading1"/>
        <w:pBdr>
          <w:bottom w:val="single" w:sz="10" w:space="4" w:color="F0916A"/>
        </w:pBdr>
      </w:pPr>
      <w:r>
        <w:t>5. Vérifications de références</w:t>
      </w:r>
    </w:p>
    <w:p>
      <w:r>
        <w:t>Les références des projets ont été contrôlées. Les points suivants sont confirmés ou corrigés ; le détail des textes consultés figure dans le fichier de références joint (</w:t>
      </w:r>
      <w:r>
        <w:rPr>
          <w:rFonts w:ascii="Consolas" w:hAnsi="Consolas" w:eastAsia="Consolas"/>
        </w:rPr>
        <w:t>legal-references.md</w:t>
      </w:r>
      <w:r>
        <w:t>).</w:t>
      </w:r>
    </w:p>
    <w:p>
      <w:pPr>
        <w:pStyle w:val="ListBullet"/>
      </w:pPr>
      <w:r>
        <w:t xml:space="preserve">L. 224-25-26 du Code de la consommation (mises à jour non nécessaires à la conformité) : </w:t>
      </w:r>
      <w:r>
        <w:rPr>
          <w:b/>
        </w:rPr>
        <w:t>confirmé</w:t>
      </w:r>
      <w:r>
        <w:t>, c'est le bon article ; il couvre aussi les évolutions fonctionnelles du service. L. 224-25-25 pour les mises à jour de conformité ; la section est d'ordre public (L. 224-25-32).</w:t>
      </w:r>
    </w:p>
    <w:p>
      <w:pPr>
        <w:pStyle w:val="ListBullet"/>
      </w:pPr>
      <w:r>
        <w:t xml:space="preserve">D. 211-4 cité pour l'encadré : </w:t>
      </w:r>
      <w:r>
        <w:rPr>
          <w:b/>
        </w:rPr>
        <w:t>confirmé</w:t>
      </w:r>
      <w:r>
        <w:t xml:space="preserve"> pour un service numérique fourni en continu ; l'encadré est l'annexe à D. 211-4, « X » étant remplacé par la durée de l'abonnement.</w:t>
      </w:r>
    </w:p>
    <w:p>
      <w:pPr>
        <w:pStyle w:val="ListBullet"/>
      </w:pPr>
      <w:r>
        <w:t xml:space="preserve">L. 221-25 et L. 221-28 1° : </w:t>
      </w:r>
      <w:r>
        <w:rPr>
          <w:b/>
        </w:rPr>
        <w:t>confirmés</w:t>
      </w:r>
      <w:r>
        <w:t xml:space="preserve"> (Helium est un service, non un contenu numérique ; le 13° ne s'applique pas).</w:t>
      </w:r>
    </w:p>
    <w:p>
      <w:pPr>
        <w:pStyle w:val="ListBullet"/>
      </w:pPr>
      <w:r>
        <w:t xml:space="preserve">Résiliation en ligne : L. 215-1-1 </w:t>
      </w:r>
      <w:r>
        <w:rPr>
          <w:b/>
        </w:rPr>
        <w:t>confirmé</w:t>
      </w:r>
      <w:r>
        <w:t xml:space="preserve"> ; le décret d'application est le </w:t>
      </w:r>
      <w:r>
        <w:rPr>
          <w:b/>
        </w:rPr>
        <w:t>n° 2023-417 du 31 mai 2023</w:t>
      </w:r>
      <w:r>
        <w:t xml:space="preserve"> (D. 215-1 à D. 215-3). Le décret n° 2023-182 vise la résiliation des contrats d'assurance.</w:t>
      </w:r>
    </w:p>
    <w:p>
      <w:pPr>
        <w:pStyle w:val="ListBullet"/>
      </w:pPr>
      <w:r>
        <w:t>Fonctionnalité de rétractation en ligne : L. 221-21 et D. 221-5 (ordonnance n° 2026-2 et décret n° 2026-3 du 5 janvier 2026), applicables depuis juin 2026 (jour exact non confirmé sur le texte primaire).</w:t>
      </w:r>
    </w:p>
    <w:p>
      <w:pPr>
        <w:pStyle w:val="ListBullet"/>
      </w:pPr>
      <w:r>
        <w:t>Mentions légales : article 1-1 de la loi n° 2004-575 (loi SREN du 21 mai 2024), et non plus l'article 6 III ; R. 123-237 du Code de commerce pour le site.</w:t>
      </w:r>
    </w:p>
    <w:p>
      <w:pPr>
        <w:pStyle w:val="ListBullet"/>
      </w:pPr>
      <w:r>
        <w:t>Règlement (UE) 2024/1689 : art. 4 applicable depuis le 2 février 2025 ; art. 50 depuis le 2 août 2026 ; le règlement « omnibus » (UE) 2026/1744 reporte les obligations haut risque (annexe III au 2 décembre 2027) sans toucher à l'article 50 pour un service lancé après août 2026 (contenu vérifié sur sources secondaires concordantes, texte primaire non lu).</w:t>
      </w:r>
    </w:p>
    <w:p>
      <w:pPr>
        <w:pStyle w:val="ListBullet"/>
      </w:pPr>
      <w:r>
        <w:t>Data Privacy Framework : décision d'adéquation en vigueur ; recours rejeté par le Tribunal de l'UE le 3 septembre 2025 (T-553/23) ; pourvoi C-703/25 P pendant.</w:t>
      </w:r>
    </w:p>
    <w:p>
      <w:pPr>
        <w:pStyle w:val="ListBullet"/>
      </w:pPr>
      <w:r>
        <w:t>Légifrance était inaccessible depuis l'environnement de recherche ; les textes ont été lus sur les éditions consolidées de codes.droit.org (générées depuis l'API Légifrance), datées d'octobre 2026, et sur EUR-Lex. Toute référence doit être relue sur Légifrance avant signature ou publication.</w:t>
      </w:r>
    </w:p>
    <w:p>
      <w:pPr>
        <w:pStyle w:val="Heading1"/>
        <w:pBdr>
          <w:bottom w:val="single" w:sz="10" w:space="4" w:color="F0916A"/>
        </w:pBdr>
      </w:pPr>
      <w:r>
        <w:t>6. Plan d'action pour Tiffany</w:t>
      </w:r>
    </w:p>
    <w:tbl>
      <w:tblPr>
        <w:tblW w:type="auto" w:w="0"/>
        <w:jc w:val="center"/>
        <w:tblLayout w:type="fixed"/>
        <w:tblLook w:firstColumn="1" w:firstRow="1" w:lastColumn="0" w:lastRow="0" w:noHBand="0" w:noVBand="1" w:val="04A0"/>
      </w:tblPr>
      <w:tblGrid>
        <w:gridCol w:w="1551"/>
        <w:gridCol w:w="5711"/>
        <w:gridCol w:w="2150"/>
      </w:tblGrid>
      <w:tr>
        <w:tc>
          <w:tcPr>
            <w:tcW w:type="dxa" w:w="1551"/>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8"/>
              </w:rPr>
              <w:t>Semaine</w:t>
            </w:r>
          </w:p>
        </w:tc>
        <w:tc>
          <w:tcPr>
            <w:tcW w:type="dxa" w:w="5711"/>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8"/>
              </w:rPr>
              <w:t>Action</w:t>
            </w:r>
          </w:p>
        </w:tc>
        <w:tc>
          <w:tcPr>
            <w:tcW w:type="dxa" w:w="2150"/>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8"/>
              </w:rPr>
              <w:t>Livrable</w:t>
            </w:r>
          </w:p>
        </w:tc>
      </w:tr>
      <w:tr>
        <w:tc>
          <w:tcPr>
            <w:tcW w:type="dxa" w:w="155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S1 (3 au 7 novembre)</w:t>
            </w:r>
          </w:p>
        </w:tc>
        <w:tc>
          <w:tcPr>
            <w:tcW w:type="dxa" w:w="571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Lire les V2 ; faire trancher D-01 ; accord fondateurs confidentialité et PI</w:t>
            </w:r>
          </w:p>
        </w:tc>
        <w:tc>
          <w:tcPr>
            <w:tcW w:type="dxa" w:w="215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Accord signé par six</w:t>
            </w:r>
          </w:p>
        </w:tc>
      </w:tr>
      <w:tr>
        <w:tc>
          <w:tcPr>
            <w:tcW w:type="dxa" w:w="155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S1</w:t>
            </w:r>
          </w:p>
        </w:tc>
        <w:tc>
          <w:tcPr>
            <w:tcW w:type="dxa" w:w="571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Formulaire de consentement aux entretiens ; classement du BMC V2 en S01</w:t>
            </w:r>
          </w:p>
        </w:tc>
        <w:tc>
          <w:tcPr>
            <w:tcW w:type="dxa" w:w="215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Deux fichiers dans le dépôt</w:t>
            </w:r>
          </w:p>
        </w:tc>
      </w:tr>
      <w:tr>
        <w:tc>
          <w:tcPr>
            <w:tcW w:type="dxa" w:w="155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S2</w:t>
            </w:r>
          </w:p>
        </w:tc>
        <w:tc>
          <w:tcPr>
            <w:tcW w:type="dxa" w:w="571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Recherche d'antériorité « Helium » ; décision de nom</w:t>
            </w:r>
          </w:p>
        </w:tc>
        <w:tc>
          <w:tcPr>
            <w:tcW w:type="dxa" w:w="215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Note au registre (D-02)</w:t>
            </w:r>
          </w:p>
        </w:tc>
      </w:tr>
      <w:tr>
        <w:tc>
          <w:tcPr>
            <w:tcW w:type="dxa" w:w="155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S2 à S4</w:t>
            </w:r>
          </w:p>
        </w:tc>
        <w:tc>
          <w:tcPr>
            <w:tcW w:type="dxa" w:w="571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AIPD, registre des traitements, choix hébergement et fournisseurs, contrats art. 28</w:t>
            </w:r>
          </w:p>
        </w:tc>
        <w:tc>
          <w:tcPr>
            <w:tcW w:type="dxa" w:w="215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AIPD V1</w:t>
            </w:r>
          </w:p>
        </w:tc>
      </w:tr>
      <w:tr>
        <w:tc>
          <w:tcPr>
            <w:tcW w:type="dxa" w:w="155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S4</w:t>
            </w:r>
          </w:p>
        </w:tc>
        <w:tc>
          <w:tcPr>
            <w:tcW w:type="dxa" w:w="571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Conditions du pilote ; mentions légales et cookies ; désignation DPO ou référent</w:t>
            </w:r>
          </w:p>
        </w:tc>
        <w:tc>
          <w:tcPr>
            <w:tcW w:type="dxa" w:w="215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Pilote ouvrable</w:t>
            </w:r>
          </w:p>
        </w:tc>
      </w:tr>
      <w:tr>
        <w:tc>
          <w:tcPr>
            <w:tcW w:type="dxa" w:w="155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En cas de go</w:t>
            </w:r>
          </w:p>
        </w:tc>
        <w:tc>
          <w:tcPr>
            <w:tcW w:type="dxa" w:w="571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Statuts définitifs, pacte, cession de PI, médiateur, dossier Google</w:t>
            </w:r>
          </w:p>
        </w:tc>
        <w:tc>
          <w:tcPr>
            <w:tcW w:type="dxa" w:w="215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Société constituée</w:t>
            </w:r>
          </w:p>
        </w:tc>
      </w:tr>
    </w:tbl>
    <w:p>
      <w:pPr>
        <w:spacing w:after="40"/>
      </w:pPr>
    </w:p>
    <w:sectPr w:rsidR="00FC693F" w:rsidRPr="0006063C" w:rsidSect="00034616">
      <w:headerReference w:type="default" r:id="rId9"/>
      <w:footerReference w:type="default" r:id="rId10"/>
      <w:pgSz w:w="11906" w:h="16838"/>
      <w:pgMar w:top="1134" w:right="1247" w:bottom="1020" w:left="1247" w:header="510"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color w:val="8A8178"/>
        <w:sz w:val="16"/>
      </w:rPr>
      <w:t xml:space="preserve">Page </w:t>
    </w:r>
    <w:fldSimple w:instr="PAGE">
      <w:r>
        <w:t>1</w:t>
      </w:r>
    </w:fldSimple>
  </w:p>
  <w:p>
    <w:r>
      <w:rPr>
        <w:color w:val="8A8178"/>
        <w:sz w:val="15"/>
      </w:rPr>
      <w:t>HEC GEMM Group 4  ·  Document de travail, hypothèses à valider  ·  Ne pas diffuser hors équipe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Arial" w:hAnsi="Arial"/>
        <w:color w:val="8A8178"/>
        <w:sz w:val="16"/>
      </w:rPr>
      <w:t>Helium  ·  Revue juridique des cinq projets en dépôt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color w:val="201C1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eastAsia="Georgia" w:cs="Georgia"/>
      <w:b w:val="0"/>
      <w:bCs/>
      <w:color w:val="201C19"/>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eastAsia="Georgia" w:cs="Georgia"/>
      <w:b/>
      <w:bCs/>
      <w:color w:val="201C19"/>
      <w:sz w:val="28"/>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Georgia" w:hAnsi="Georgia" w:eastAsia="Georgia" w:cs="Georgia"/>
      <w:b/>
      <w:bCs/>
      <w:color w:val="D9734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