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drawing>
          <wp:inline xmlns:a="http://schemas.openxmlformats.org/drawingml/2006/main" xmlns:pic="http://schemas.openxmlformats.org/drawingml/2006/picture">
            <wp:extent cx="2340000" cy="811778"/>
            <wp:docPr id="1" name="Picture 1"/>
            <wp:cNvGraphicFramePr>
              <a:graphicFrameLocks noChangeAspect="1"/>
            </wp:cNvGraphicFramePr>
            <a:graphic>
              <a:graphicData uri="http://schemas.openxmlformats.org/drawingml/2006/picture">
                <pic:pic>
                  <pic:nvPicPr>
                    <pic:cNvPr id="0" name="wordmark_ink.png"/>
                    <pic:cNvPicPr/>
                  </pic:nvPicPr>
                  <pic:blipFill>
                    <a:blip r:embed="rId11"/>
                    <a:stretch>
                      <a:fillRect/>
                    </a:stretch>
                  </pic:blipFill>
                  <pic:spPr>
                    <a:xfrm>
                      <a:off x="0" y="0"/>
                      <a:ext cx="2340000" cy="811778"/>
                    </a:xfrm>
                    <a:prstGeom prst="rect"/>
                  </pic:spPr>
                </pic:pic>
              </a:graphicData>
            </a:graphic>
          </wp:inline>
        </w:drawing>
      </w:r>
    </w:p>
    <w:p>
      <w:pPr>
        <w:spacing w:before="1400"/>
        <w:pBdr>
          <w:bottom w:val="single" w:sz="18" w:space="4" w:color="F0916A"/>
        </w:pBdr>
      </w:pPr>
      <w:r>
        <w:rPr>
          <w:rFonts w:ascii="Georgia" w:hAnsi="Georgia"/>
          <w:color w:val="201C19"/>
          <w:sz w:val="60"/>
        </w:rPr>
        <w:t>Helium, analyse de marché et intelligence concurrentielle</w:t>
      </w:r>
    </w:p>
    <w:p>
      <w:pPr>
        <w:spacing w:before="200"/>
      </w:pPr>
      <w:r>
        <w:rPr>
          <w:rFonts w:ascii="Georgia" w:hAnsi="Georgia"/>
          <w:color w:val="8A8178"/>
          <w:sz w:val="30"/>
        </w:rPr>
        <w:t>France, octobre 2026. Demande, dimensionnement, segments, chaîne de valeur, concurrents, espaces blancs, war-game</w:t>
      </w:r>
    </w:p>
    <w:p>
      <w:pPr>
        <w:spacing w:before="2400"/>
      </w:pPr>
    </w:p>
    <w:p>
      <w:pPr>
        <w:spacing w:after="40"/>
      </w:pPr>
      <w:r>
        <w:rPr>
          <w:color w:val="8A8178"/>
          <w:sz w:val="18"/>
        </w:rPr>
        <w:t xml:space="preserve">Préparé par  </w:t>
      </w:r>
      <w:r>
        <w:rPr>
          <w:color w:val="201C19"/>
          <w:sz w:val="20"/>
        </w:rPr>
        <w:t>Assistant IA Direction, méthode consulting-os (modules 04, 05, 06, 07, 16), à la demande du CEO (Malik)</w:t>
      </w:r>
    </w:p>
    <w:p>
      <w:pPr>
        <w:spacing w:after="40"/>
      </w:pPr>
      <w:r>
        <w:rPr>
          <w:color w:val="8A8178"/>
          <w:sz w:val="18"/>
        </w:rPr>
        <w:t xml:space="preserve">Pour  </w:t>
      </w:r>
      <w:r>
        <w:rPr>
          <w:color w:val="201C19"/>
          <w:sz w:val="20"/>
        </w:rPr>
        <w:t>Board Helium (HEC GEMM Group 4)</w:t>
      </w:r>
    </w:p>
    <w:p>
      <w:pPr>
        <w:spacing w:after="40"/>
      </w:pPr>
      <w:r>
        <w:rPr>
          <w:color w:val="8A8178"/>
          <w:sz w:val="18"/>
        </w:rPr>
        <w:t xml:space="preserve">Date  </w:t>
      </w:r>
      <w:r>
        <w:rPr>
          <w:color w:val="201C19"/>
          <w:sz w:val="20"/>
        </w:rPr>
        <w:t>27 octobre 2026</w:t>
      </w:r>
    </w:p>
    <w:p>
      <w:pPr>
        <w:spacing w:after="40"/>
      </w:pPr>
      <w:r>
        <w:rPr>
          <w:color w:val="8A8178"/>
          <w:sz w:val="18"/>
        </w:rPr>
        <w:t xml:space="preserve">Statut  </w:t>
      </w:r>
      <w:r>
        <w:rPr>
          <w:color w:val="201C19"/>
          <w:sz w:val="20"/>
        </w:rPr>
        <w:t>Document de travail. Chaque chiffre porte sa source, sa date et sa nature (fait, estimation, inconnu). Les références numérotées renvoient au dossier de recherche joint</w:t>
      </w:r>
    </w:p>
    <w:p>
      <w:pPr>
        <w:spacing w:after="40"/>
      </w:pPr>
      <w:r>
        <w:rPr>
          <w:color w:val="8A8178"/>
          <w:sz w:val="18"/>
        </w:rPr>
        <w:t xml:space="preserve">Version  </w:t>
      </w:r>
      <w:r>
        <w:rPr>
          <w:color w:val="201C19"/>
          <w:sz w:val="20"/>
        </w:rPr>
        <w:t>1.0</w:t>
      </w:r>
    </w:p>
    <w:p>
      <w:r>
        <w:br w:type="page"/>
      </w:r>
    </w:p>
    <w:p>
      <w:pPr>
        <w:pStyle w:val="Heading1"/>
        <w:pBdr>
          <w:bottom w:val="single" w:sz="10" w:space="4" w:color="F0916A"/>
        </w:pBdr>
      </w:pPr>
      <w:r>
        <w:t>Résumé</w:t>
      </w:r>
    </w:p>
    <w:p>
      <w:r>
        <w:rPr>
          <w:b/>
        </w:rPr>
        <w:t>Ce que dit le marché, en une phrase.</w:t>
      </w:r>
      <w:r>
        <w:t xml:space="preserve"> La France compte 7,3 millions de cadres (fait), dont les trois quarts utilisent déjà une IA générative (fait), dont un sur deux dit vouloir déléguer des tâches à une IA à condition de valider la dernière action (fait) ; et en octobre 2026, aucun agent proactif grand public des majors américains n'est disponible dans l'Espace économique européen (fait). Helium vise exactement l'intersection de ces quatre faits, pendant une fenêtre que les majors refermeront quand ils auront réglé leurs contraintes européennes : douze à vingt-quatre mois (estimation).</w:t>
      </w:r>
    </w:p>
    <w:p>
      <w:r>
        <w:t>Trois conclusions :</w:t>
      </w:r>
    </w:p>
    <w:p>
      <w:pPr>
        <w:spacing w:after="60"/>
        <w:ind w:left="425" w:hanging="425"/>
      </w:pPr>
      <w:r>
        <w:rPr>
          <w:b/>
        </w:rPr>
        <w:t>1.</w:t>
        <w:tab/>
      </w:r>
      <w:r>
        <w:rPr>
          <w:b/>
        </w:rPr>
        <w:t>La demande existe et elle est chiffrée.</w:t>
      </w:r>
      <w:r>
        <w:t xml:space="preserve"> 81 % des parents cadres déclarent des difficultés de conciliation vie professionnelle et vie familiale ; 51 % des Français disent que l'organisation du foyer est une charge mentale significative, 64 % chez les 25 à 49 ans ; 53 % sont prêts à déléguer des tâches à une IA, 43 % uniquement avec validation finale ; les démarches administratives sont la première tâche jugée déléguable (34 %). Cette dernière proportion, 43 %, est la définition même du produit Helium.</w:t>
      </w:r>
    </w:p>
    <w:p>
      <w:pPr>
        <w:spacing w:after="60"/>
        <w:ind w:left="425" w:hanging="425"/>
      </w:pPr>
      <w:r>
        <w:rPr>
          <w:b/>
        </w:rPr>
        <w:t>2.</w:t>
        <w:tab/>
      </w:r>
      <w:r>
        <w:rPr>
          <w:b/>
        </w:rPr>
        <w:t>Le couloir de prix est vide.</w:t>
      </w:r>
      <w:r>
        <w:t xml:space="preserve"> Entre les assistants généralistes à 18 à 23 € par mois et les conciergeries privées à 250 à 600 € par mois, personne n'exécute les démarches personnelles sous mandat. Les conciergeries d'entreprise coûtent 5 à 20 € par salarié et par mois, payés par l'employeur : c'est le point d'entrée naturel d'un canal B2B2C.</w:t>
      </w:r>
    </w:p>
    <w:p>
      <w:pPr>
        <w:spacing w:after="60"/>
        <w:ind w:left="425" w:hanging="425"/>
      </w:pPr>
      <w:r>
        <w:rPr>
          <w:b/>
        </w:rPr>
        <w:t>3.</w:t>
        <w:tab/>
      </w:r>
      <w:r>
        <w:rPr>
          <w:b/>
        </w:rPr>
        <w:t>La confiance, pas la fonctionnalité, décide.</w:t>
      </w:r>
      <w:r>
        <w:t xml:space="preserve"> 52 % des Français ne font confiance ni à un assistant personnel ni à l'IA d'une marque pour agir à leur place ; la défiance tombe à 8 % chez ceux qui acceptent de partager leurs données. Les revues de presse des agents de réservation concluent toutes à la même exigence : confirmer avant d'engager. Le modèle de permission de Helium n'est pas une contrainte réglementaire, c'est le produit.</w:t>
      </w:r>
    </w:p>
    <w:p>
      <w:r>
        <w:rPr>
          <w:b/>
        </w:rPr>
        <w:t>Ce que le marché ne dit pas.</w:t>
      </w:r>
      <w:r>
        <w:t xml:space="preserve"> Le consentement à payer 79 € par mois pour un majordome IA n'a jamais été mesuré en France (inconnu). Le seul point de comparaison direct, Yohana, majordome humain à 249 $ par mois soutenu par Panasonic, a fermé en janvier 2026 après 300 000 tâches : le plafond de prix d'un « majordome » est très en dessous de l'économie d'un service humain, et il reste à prouver au-dessus de 23 €.</w:t>
      </w:r>
    </w:p>
    <w:p>
      <w:r>
        <w:br w:type="page"/>
      </w:r>
    </w:p>
    <w:p>
      <w:pPr>
        <w:pStyle w:val="Heading1"/>
        <w:pBdr>
          <w:bottom w:val="single" w:sz="10" w:space="4" w:color="F0916A"/>
        </w:pBdr>
      </w:pPr>
      <w:r>
        <w:t>1. Unité de demande et définition du marché</w:t>
      </w:r>
    </w:p>
    <w:p>
      <w:r>
        <w:rPr>
          <w:b/>
        </w:rPr>
        <w:t>Ce qui est acheté.</w:t>
      </w:r>
      <w:r>
        <w:t xml:space="preserve"> Un abonnement mensuel par foyer, de 29 à 129 € TTC, qui donne accès à un agent lisant les courriels, l'agenda et les documents du client avec son autorisation, et exécutant sous validation une dizaine de missions de la vie personnelle (rendez-vous, réservations, échéances, relances, coordination familiale, préparation de déplacements).</w:t>
      </w:r>
    </w:p>
    <w:p>
      <w:r>
        <w:rPr>
          <w:b/>
        </w:rPr>
        <w:t>Ce que ce n'est pas.</w:t>
      </w:r>
      <w:r>
        <w:t xml:space="preserve"> Ni un outil de productivité professionnelle (le marché de Lindy, Fyxer, Motion), ni une conciergerie à prestations physiques (John Paul, Quintessentially), ni une application de calendrier partagé (Cozi, FamilyWall).</w:t>
      </w:r>
    </w:p>
    <w:p>
      <w:r>
        <w:rPr>
          <w:b/>
        </w:rPr>
        <w:t>Marché de référence retenu.</w:t>
      </w:r>
      <w:r>
        <w:t xml:space="preserve"> Les cadres et professions intellectuelles supérieures en emploi en France, approximation officielle de la cible « personne à revenus confortables qui manque de temps ». Limite assumée : la PCS inclut des cadres à revenus modestes et des enseignants ; la part qui paie déjà pour déléguer sera mesurée en entretien.</w:t>
      </w:r>
    </w:p>
    <w:p>
      <w:pPr>
        <w:pStyle w:val="Heading1"/>
        <w:pBdr>
          <w:bottom w:val="single" w:sz="10" w:space="4" w:color="F0916A"/>
        </w:pBdr>
      </w:pPr>
      <w:r>
        <w:t>2. La demande</w:t>
      </w:r>
    </w:p>
    <w:p>
      <w:pPr>
        <w:pStyle w:val="Heading2"/>
      </w:pPr>
      <w:r>
        <w:t>2.1 Taille et structure de la cible</w:t>
      </w:r>
    </w:p>
    <w:tbl>
      <w:tblPr>
        <w:tblW w:type="auto" w:w="0"/>
        <w:jc w:val="center"/>
        <w:tblLayout w:type="fixed"/>
        <w:tblLook w:firstColumn="1" w:firstRow="1" w:lastColumn="0" w:lastRow="0" w:noHBand="0" w:noVBand="1" w:val="04A0"/>
      </w:tblPr>
      <w:tblGrid>
        <w:gridCol w:w="2253"/>
        <w:gridCol w:w="2534"/>
        <w:gridCol w:w="1023"/>
        <w:gridCol w:w="2240"/>
        <w:gridCol w:w="1361"/>
      </w:tblGrid>
      <w:tr>
        <w:tc>
          <w:tcPr>
            <w:tcW w:type="dxa" w:w="225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Indicateur</w:t>
            </w:r>
          </w:p>
        </w:tc>
        <w:tc>
          <w:tcPr>
            <w:tcW w:type="dxa" w:w="253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Valeur</w:t>
            </w:r>
          </w:p>
        </w:tc>
        <w:tc>
          <w:tcPr>
            <w:tcW w:type="dxa" w:w="102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Date</w:t>
            </w:r>
          </w:p>
        </w:tc>
        <w:tc>
          <w:tcPr>
            <w:tcW w:type="dxa" w:w="224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Source (fiabilité)</w:t>
            </w:r>
          </w:p>
        </w:tc>
        <w:tc>
          <w:tcPr>
            <w:tcW w:type="dxa" w:w="136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Nature</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et professions intellectuelles supérieures en emploi</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7,30 M (3,16 M femmes, 4,14 M hommes)</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2025, publié avril 2026</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enquête Emploi [1]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Part des cadres dans l'emploi total</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23,0 % de 29,0 M, soit 6,66 M</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2024</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Références [2]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Structure par âge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 à 49 ans : 64,5 % ; 50 ans et plus : 32,7 %</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2019</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Focus 205 [3]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 (dernière ventilation disponible)</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en Île-de-France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35,1 % des actifs de la région ; 45 % des cadres du privé</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2024</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CCI Paris IDF [4], Apec [14]</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vivant en couple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70 %</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2022</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Apec, enquête Emploi [5]</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vivant avec des enfants</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54 % (48 % en couple, 6 % monoparentaux)</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2022</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Apec [5]</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Ménages cadre et cadre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3,8 % des ménages ; 5,5 % de la population ; niveau de vie médian 41 700 € par an</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2019</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[6], Observatoire des inégalités [7]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Couples bi-cadres en Île-de-France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un couple sur cinq</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2018</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Analyses IDF 151 [8]</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Salaire net moyen des cadres du privé</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4 630 € par mois (EQTP)</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2024, publié janvier 2026</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[13]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Rémunération brute annuelle médiane des cadres</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55 k€ ; 80 % entre 38 et 95 k€ ; Île-de-France 58 k€</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2025</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Apec [15]</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utilisant une IA générative</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76 % (48 % des Français de 12 ans et plus)</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terrain juin 2025, publié février 2026</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Baromètre du numérique 2026, CREDOC pour l'Arcep [24] (officielle)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2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Utilisateurs payant un abonnement IA</w:t>
            </w:r>
          </w:p>
        </w:tc>
        <w:tc>
          <w:tcPr>
            <w:tcW w:type="dxa" w:w="253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19 %, surtout jeunes, diplômés et cadres</w:t>
            </w:r>
          </w:p>
        </w:tc>
        <w:tc>
          <w:tcPr>
            <w:tcW w:type="dxa" w:w="10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idem</w:t>
            </w:r>
          </w:p>
        </w:tc>
        <w:tc>
          <w:tcPr>
            <w:tcW w:type="dxa" w:w="224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BDM d'après le rapport CREDOC [25] (presse)</w:t>
            </w:r>
          </w:p>
        </w:tc>
        <w:tc>
          <w:tcPr>
            <w:tcW w:type="dxa" w:w="136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 à vérifier dans le rapport complet</w:t>
            </w:r>
          </w:p>
        </w:tc>
      </w:tr>
    </w:tbl>
    <w:p>
      <w:pPr>
        <w:spacing w:after="40"/>
      </w:pPr>
    </w:p>
    <w:p>
      <w:r>
        <w:t>Deux estimations utiles pour le modèle : les ménages cadre et cadre représentent environ 1,19 million de foyers (3,8 % de 31,3 M de ménages, part 2019 appliquée à la base 2023, erreur probable inférieure à 10 %) ; environ 1,05 million de cadres paient déjà un abonnement d'IA générative (7,3 M × 76 % × 19 %, plancher puisque le taux de paiement des cadres est supérieur à la moyenne).</w:t>
      </w:r>
    </w:p>
    <w:p>
      <w:r>
        <w:t>Lecture de prix : Premium à 79 € représente 1,7 % du salaire net moyen d'un cadre ; Family à 129 € représente 1,4 % des salaires nets cumulés d'un couple de cadres (estimations).</w:t>
      </w:r>
    </w:p>
    <w:p>
      <w:pPr>
        <w:pStyle w:val="Heading2"/>
      </w:pPr>
      <w:r>
        <w:t>2.2 Douleurs et consentement à déléguer</w:t>
      </w:r>
    </w:p>
    <w:tbl>
      <w:tblPr>
        <w:tblW w:type="auto" w:w="0"/>
        <w:jc w:val="center"/>
        <w:tblLayout w:type="fixed"/>
        <w:tblLook w:firstColumn="1" w:firstRow="1" w:lastColumn="0" w:lastRow="0" w:noHBand="0" w:noVBand="1" w:val="04A0"/>
      </w:tblPr>
      <w:tblGrid>
        <w:gridCol w:w="2553"/>
        <w:gridCol w:w="2996"/>
        <w:gridCol w:w="1307"/>
        <w:gridCol w:w="1450"/>
        <w:gridCol w:w="1107"/>
      </w:tblGrid>
      <w:tr>
        <w:tc>
          <w:tcPr>
            <w:tcW w:type="dxa" w:w="255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299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Valeur</w:t>
            </w:r>
          </w:p>
        </w:tc>
        <w:tc>
          <w:tcPr>
            <w:tcW w:type="dxa" w:w="13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Échantillon et date</w:t>
            </w:r>
          </w:p>
        </w:tc>
        <w:tc>
          <w:tcPr>
            <w:tcW w:type="dxa" w:w="145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Source (fiabilité)</w:t>
            </w:r>
          </w:p>
        </w:tc>
        <w:tc>
          <w:tcPr>
            <w:tcW w:type="dxa" w:w="11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Nature</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Parents actifs ayant eu des difficultés de conciliation dans l'année</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73 % ; 81 % chez les CSP A (cadres, chefs d'entreprise), dont 45 % plusieurs fois par mois</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 = 2 528, octobre 2022</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OpinionWay pour l'Unaf [19]</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Parents attendant des services de leur employeur (garde, conciergerie)</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25 % ; 28 % chez les CSP A</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idem</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[19]</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Cadres présentant souvent au moins un signe de santé mentale dégradée</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32 % ; 41 % travaillent souvent sous pression (24 % chez les non-cadres)</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 = 2 000, juin 2025</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Apec [20]</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Français pour qui l'organisation du foyer est une charge mentale significative</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51 % ; 64 à 65 % chez les 25 à 49 ans ; 57 % des femmes</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 = 1 050, août 2026</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OpinionWay pour LG [21] (presse)</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Déjà délégué une partie des tâches domestiques</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42 % ; le coût est le premier frein (42 %)</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 = 3 102, septembre 2026</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Domaliance [22] (sondage d'un prestataire, presse)</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Prêts à déléguer des tâches à une IA</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53 %, dont 43 % uniquement avec validation finale et 10 % en délégation totale ; 79 % chez les utilisateurs réguliers</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 = 1 051, mars 2026</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Ifop pour Converteo [23] (presse citant l'institut)</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Tâches jugées déléguables à une IA</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démarches administratives 34 %, service après-vente 14 %, courses 9 %, organisation de voyages et loisirs 8 %</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idem</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Ne font confiance ni à un assistant personnel ni à l'IA d'une marque pour agir à leur place</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52 % ; 8 % seulement chez ceux qui acceptent de partager leurs données</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idem</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[23]</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w:t>
            </w:r>
          </w:p>
        </w:tc>
      </w:tr>
      <w:tr>
        <w:tc>
          <w:tcPr>
            <w:tcW w:type="dxa" w:w="255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Temps domestique quotidien des salariés</w:t>
            </w:r>
          </w:p>
        </w:tc>
        <w:tc>
          <w:tcPr>
            <w:tcW w:type="dxa" w:w="2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femmes 3 h 27, hommes 2 h 06 ; femmes en couple avec enfants : 28 h par semaine</w:t>
            </w:r>
          </w:p>
        </w:tc>
        <w:tc>
          <w:tcPr>
            <w:tcW w:type="dxa" w:w="13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2010</w:t>
            </w:r>
          </w:p>
        </w:tc>
        <w:tc>
          <w:tcPr>
            <w:tcW w:type="dxa" w:w="14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Insee, enquête Emploi du temps [16], [17] (officielle)</w:t>
            </w:r>
          </w:p>
        </w:tc>
        <w:tc>
          <w:tcPr>
            <w:tcW w:type="dxa" w:w="11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Fait (ancien ; nouvelle enquête 2025-2026 en cours, résultats 2027)</w:t>
            </w:r>
          </w:p>
        </w:tc>
      </w:tr>
    </w:tbl>
    <w:p>
      <w:pPr>
        <w:spacing w:after="40"/>
      </w:pPr>
    </w:p>
    <w:p>
      <w:r>
        <w:t>Inconnu : le temps passé spécifiquement aux démarches administratives par les cadres. Mesure : carnet de bord sur sept jours dans les entretiens Helium, puis résultats Insee 2027.</w:t>
      </w:r>
    </w:p>
    <w:p>
      <w:pPr>
        <w:pStyle w:val="Heading2"/>
      </w:pPr>
      <w:r>
        <w:t>2.3 Ce que ces chiffres changent au cadrage</w:t>
      </w:r>
    </w:p>
    <w:p>
      <w:pPr>
        <w:pStyle w:val="ListBullet"/>
      </w:pPr>
      <w:r>
        <w:t>La cible secondaire « couple bi-actif avec enfants » n'est pas marginale : 54 % des cadres vivent avec des enfants, et la charge mentale est maximale chez les 25 à 49 ans. L'offre Family répond à la douleur la plus intense, mais exige le multi-profil reporté après le pilote.</w:t>
      </w:r>
    </w:p>
    <w:p>
      <w:pPr>
        <w:pStyle w:val="ListBullet"/>
      </w:pPr>
      <w:r>
        <w:t>Le segment « délègue mais valide » (43 % des Français, davantage chez les cadres utilisateurs d'IA) est le marché adressable réel de Helium. La délégation totale (10 %) n'est pas le cœur de cible, et c'est une bonne nouvelle : elle serait le terrain des généralistes.</w:t>
      </w:r>
    </w:p>
    <w:p>
      <w:pPr>
        <w:pStyle w:val="ListBullet"/>
      </w:pPr>
      <w:r>
        <w:t>Le frein n'est pas la technologie ni le prix seul, c'est la confiance : le modèle de permission progressive (Agenda d'abord, courriels ensuite, périmètre paramétré) est une réponse directe au 52 % de défiance.</w:t>
      </w:r>
    </w:p>
    <w:p>
      <w:pPr>
        <w:pStyle w:val="Heading1"/>
        <w:pBdr>
          <w:bottom w:val="single" w:sz="10" w:space="4" w:color="F0916A"/>
        </w:pBdr>
      </w:pPr>
      <w:r>
        <w:t>3. Dimensionnement : deux méthodes, un écart expliqué</w:t>
      </w:r>
    </w:p>
    <w:p>
      <w:r>
        <w:rPr>
          <w:b/>
        </w:rPr>
        <w:t>Descendante (personnes).</w:t>
      </w:r>
      <w:r>
        <w:t xml:space="preserve"> 7,3 M de cadres (fait) × 64,5 % de 25 à 49 ans (fait, 2019) = 4,7 M ; × 54 % vivant avec des enfants (fait, 2022) = 2,5 M ; × 43 % prêts à déléguer avec validation (fait, 2026, population générale appliquée aux cadres) = 1,1 M de personnes dans le cœur de cible. Estimation : trois coefficients sourcés mais de dates et de périmètres différents. Elle remplace l'estimation précédente du dépôt (600 000, coefficient de 20 % non sourcé).</w:t>
      </w:r>
    </w:p>
    <w:p>
      <w:r>
        <w:rPr>
          <w:b/>
        </w:rPr>
        <w:t>Ascendante (revenu).</w:t>
      </w:r>
      <w:r>
        <w:t xml:space="preserve"> 1,1 M de personnes × 79 € TTC × 12 = 1,0 Md€ TTC de marché théorique annuel à 100 % de pénétration ; à 1 % de pénétration, 10 M€ ; le scénario central du modèle financier (2 664 abonnés fin A3, 1,4 M€ HT de chiffre d'affaires) représente 0,24 % du cœur de cible.</w:t>
      </w:r>
    </w:p>
    <w:p>
      <w:r>
        <w:rPr>
          <w:b/>
        </w:rPr>
        <w:t>Référence externe.</w:t>
      </w:r>
      <w:r>
        <w:t xml:space="preserve"> Le marché français de la conciergerie dans son ensemble est estimé à « plus de 150 millions d'euros » (Xerfi, juin 2025 [73], étude payante, méthode : panel de comptes), en croissance de 4,5 % par an ; la conciergerie d'entreprise touche moins de 1 % des salariés [74]. Ce marché est celui que Helium élargit, pas celui qu'il prend : l'écart entre 150 M€ constatés et 1 Md€ théorique mesure la demande non servie faute d'offre à prix d'abonnement.</w:t>
      </w:r>
    </w:p>
    <w:p>
      <w:r>
        <w:rPr>
          <w:b/>
        </w:rPr>
        <w:t>Réconciliation.</w:t>
      </w:r>
      <w:r>
        <w:t xml:space="preserve"> Les deux méthodes ne divergent pas de plus de 2× sur le marché accessible à trois ans ; la taille n'est pas la contrainte. Les deux inconnues sont la conversion et la rétention à 79 €, et aucune source publique ne les donne : seules des cohortes payantes y répondront.</w:t>
      </w:r>
    </w:p>
    <w:p>
      <w:pPr>
        <w:pStyle w:val="Heading1"/>
        <w:pBdr>
          <w:bottom w:val="single" w:sz="10" w:space="4" w:color="F0916A"/>
        </w:pBdr>
      </w:pPr>
      <w:r>
        <w:t>4. Segmentation (module 06)</w:t>
      </w:r>
    </w:p>
    <w:p>
      <w:r>
        <w:t>Axe retenu : la structure du foyer croisée avec la disposition à déléguer, parce qu'elle fait varier à la fois le consentement à payer, le coût de service et la rétention. L'axe revenu seul ne discrimine pas (revenu et volonté de payer sont distincts).</w:t>
      </w:r>
    </w:p>
    <w:tbl>
      <w:tblPr>
        <w:tblW w:type="auto" w:w="0"/>
        <w:jc w:val="center"/>
        <w:tblLayout w:type="fixed"/>
        <w:tblLook w:firstColumn="1" w:firstRow="1" w:lastColumn="0" w:lastRow="0" w:noHBand="0" w:noVBand="1" w:val="04A0"/>
      </w:tblPr>
      <w:tblGrid>
        <w:gridCol w:w="1370"/>
        <w:gridCol w:w="1301"/>
        <w:gridCol w:w="1309"/>
        <w:gridCol w:w="1563"/>
        <w:gridCol w:w="781"/>
        <w:gridCol w:w="1123"/>
        <w:gridCol w:w="1964"/>
      </w:tblGrid>
      <w:tr>
        <w:tc>
          <w:tcPr>
            <w:tcW w:type="dxa" w:w="137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Segment</w:t>
            </w:r>
          </w:p>
        </w:tc>
        <w:tc>
          <w:tcPr>
            <w:tcW w:type="dxa" w:w="130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Taille (ordre)</w:t>
            </w:r>
          </w:p>
        </w:tc>
        <w:tc>
          <w:tcPr>
            <w:tcW w:type="dxa" w:w="13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Consentement à payer (hypothèse)</w:t>
            </w:r>
          </w:p>
        </w:tc>
        <w:tc>
          <w:tcPr>
            <w:tcW w:type="dxa" w:w="156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de service (modèle)</w:t>
            </w:r>
          </w:p>
        </w:tc>
        <w:tc>
          <w:tcPr>
            <w:tcW w:type="dxa" w:w="78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Marge</w:t>
            </w:r>
          </w:p>
        </w:tc>
        <w:tc>
          <w:tcPr>
            <w:tcW w:type="dxa" w:w="112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Croissance</w:t>
            </w:r>
          </w:p>
        </w:tc>
        <w:tc>
          <w:tcPr>
            <w:tcW w:type="dxa" w:w="196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Action justifiée</w:t>
            </w:r>
          </w:p>
        </w:tc>
      </w:tr>
      <w:tr>
        <w:tc>
          <w:tcPr>
            <w:tcW w:type="dxa" w:w="13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Cadre supérieur très actif, 35 à 50 ans, un seul utilisateur</w:t>
            </w:r>
          </w:p>
        </w:tc>
        <w:tc>
          <w:tcPr>
            <w:tcW w:type="dxa" w:w="13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 4,7 M de cadres de 25 à 49 ans ; cœur ≈ 1,1 M</w:t>
            </w:r>
          </w:p>
        </w:tc>
        <w:tc>
          <w:tcPr>
            <w:tcW w:type="dxa" w:w="13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Premium 79 €</w:t>
            </w:r>
          </w:p>
        </w:tc>
        <w:tc>
          <w:tcPr>
            <w:tcW w:type="dxa" w:w="15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18 € HT (60 missions)</w:t>
            </w:r>
          </w:p>
        </w:tc>
        <w:tc>
          <w:tcPr>
            <w:tcW w:type="dxa" w:w="7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74 %</w:t>
            </w:r>
          </w:p>
        </w:tc>
        <w:tc>
          <w:tcPr>
            <w:tcW w:type="dxa" w:w="11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Stable (part des cadres 23 %)</w:t>
            </w:r>
          </w:p>
        </w:tc>
        <w:tc>
          <w:tcPr>
            <w:tcW w:type="dxa" w:w="196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Cible du pilote : MVP simple, réseau HEC et LinkedIn</w:t>
            </w:r>
          </w:p>
        </w:tc>
      </w:tr>
      <w:tr>
        <w:tc>
          <w:tcPr>
            <w:tcW w:type="dxa" w:w="13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Couple bi-actif avec enfants</w:t>
            </w:r>
          </w:p>
        </w:tc>
        <w:tc>
          <w:tcPr>
            <w:tcW w:type="dxa" w:w="13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 1,2 M de ménages cadre et cadre ; 2,5 M de cadres avec enfants</w:t>
            </w:r>
          </w:p>
        </w:tc>
        <w:tc>
          <w:tcPr>
            <w:tcW w:type="dxa" w:w="13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Family 129 €</w:t>
            </w:r>
          </w:p>
        </w:tc>
        <w:tc>
          <w:tcPr>
            <w:tcW w:type="dxa" w:w="15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25 € HT (multi-profils, 90 missions)</w:t>
            </w:r>
          </w:p>
        </w:tc>
        <w:tc>
          <w:tcPr>
            <w:tcW w:type="dxa" w:w="7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78 %</w:t>
            </w:r>
          </w:p>
        </w:tc>
        <w:tc>
          <w:tcPr>
            <w:tcW w:type="dxa" w:w="11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Portée par la charge mentale (64 % chez les 25 à 49 ans)</w:t>
            </w:r>
          </w:p>
        </w:tc>
        <w:tc>
          <w:tcPr>
            <w:tcW w:type="dxa" w:w="196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Cible secondaire : entretiens des deux conjoints, livraison après le multi-profil</w:t>
            </w:r>
          </w:p>
        </w:tc>
      </w:tr>
      <w:tr>
        <w:tc>
          <w:tcPr>
            <w:tcW w:type="dxa" w:w="13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Dirigeants et professions libérales, 40 à 60 ans</w:t>
            </w:r>
          </w:p>
        </w:tc>
        <w:tc>
          <w:tcPr>
            <w:tcW w:type="dxa" w:w="13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 11 % des cadres (≈ 0,8 M)</w:t>
            </w:r>
          </w:p>
        </w:tc>
        <w:tc>
          <w:tcPr>
            <w:tcW w:type="dxa" w:w="13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Premium à usage intensif</w:t>
            </w:r>
          </w:p>
        </w:tc>
        <w:tc>
          <w:tcPr>
            <w:tcW w:type="dxa" w:w="15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30 € HT (exigences, sécurité)</w:t>
            </w:r>
          </w:p>
        </w:tc>
        <w:tc>
          <w:tcPr>
            <w:tcW w:type="dxa" w:w="7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65 %</w:t>
            </w:r>
          </w:p>
        </w:tc>
        <w:tc>
          <w:tcPr>
            <w:tcW w:type="dxa" w:w="11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Stable</w:t>
            </w:r>
          </w:p>
        </w:tc>
        <w:tc>
          <w:tcPr>
            <w:tcW w:type="dxa" w:w="196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P2 : introductions qualifiées, périmètre d'accès limité, confusion pro et perso à éviter</w:t>
            </w:r>
          </w:p>
        </w:tc>
      </w:tr>
      <w:tr>
        <w:tc>
          <w:tcPr>
            <w:tcW w:type="dxa" w:w="13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Actifs confortables sensibles au prix</w:t>
            </w:r>
          </w:p>
        </w:tc>
        <w:tc>
          <w:tcPr>
            <w:tcW w:type="dxa" w:w="130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Large, non borné</w:t>
            </w:r>
          </w:p>
        </w:tc>
        <w:tc>
          <w:tcPr>
            <w:tcW w:type="dxa" w:w="13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Personal 29 €</w:t>
            </w:r>
          </w:p>
        </w:tc>
        <w:tc>
          <w:tcPr>
            <w:tcW w:type="dxa" w:w="156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9 € HT (20 missions)</w:t>
            </w:r>
          </w:p>
        </w:tc>
        <w:tc>
          <w:tcPr>
            <w:tcW w:type="dxa" w:w="78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63 %</w:t>
            </w:r>
          </w:p>
        </w:tc>
        <w:tc>
          <w:tcPr>
            <w:tcW w:type="dxa" w:w="112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Forte si organique</w:t>
            </w:r>
          </w:p>
        </w:tc>
        <w:tc>
          <w:tcPr>
            <w:tcW w:type="dxa" w:w="196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P3 : payback de dix mois, jamais d'acquisition payante</w:t>
            </w:r>
          </w:p>
        </w:tc>
      </w:tr>
    </w:tbl>
    <w:p>
      <w:pPr>
        <w:spacing w:after="40"/>
      </w:pPr>
    </w:p>
    <w:p>
      <w:r>
        <w:t>Segments délibérément non servis : les particuliers souhaitant une délégation totale sans validation (10 %), les professionnels cherchant un assistant de travail, les foyers très fortunés qui achètent un interlocuteur humain.</w:t>
      </w:r>
    </w:p>
    <w:p>
      <w:pPr>
        <w:pStyle w:val="Heading1"/>
        <w:pBdr>
          <w:bottom w:val="single" w:sz="10" w:space="4" w:color="F0916A"/>
        </w:pBdr>
      </w:pPr>
      <w:r>
        <w:t>5. Chaîne de valeur et poches de profit (modules 04 et 07)</w:t>
      </w:r>
    </w:p>
    <w:tbl>
      <w:tblPr>
        <w:tblW w:type="auto" w:w="0"/>
        <w:jc w:val="center"/>
        <w:tblLayout w:type="fixed"/>
        <w:tblLook w:firstColumn="1" w:firstRow="1" w:lastColumn="0" w:lastRow="0" w:noHBand="0" w:noVBand="1" w:val="04A0"/>
      </w:tblPr>
      <w:tblGrid>
        <w:gridCol w:w="1703"/>
        <w:gridCol w:w="1527"/>
        <w:gridCol w:w="4479"/>
        <w:gridCol w:w="1703"/>
      </w:tblGrid>
      <w:tr>
        <w:tc>
          <w:tcPr>
            <w:tcW w:type="dxa" w:w="170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Maillon</w:t>
            </w:r>
          </w:p>
        </w:tc>
        <w:tc>
          <w:tcPr>
            <w:tcW w:type="dxa" w:w="152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Qui l'occupe</w:t>
            </w:r>
          </w:p>
        </w:tc>
        <w:tc>
          <w:tcPr>
            <w:tcW w:type="dxa" w:w="447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Marge et mécanisme</w:t>
            </w:r>
          </w:p>
        </w:tc>
        <w:tc>
          <w:tcPr>
            <w:tcW w:type="dxa" w:w="170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Ce qui le ferait disparaître</w:t>
            </w:r>
          </w:p>
        </w:tc>
      </w:tr>
      <w:tr>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Modèles d'IA (inférence)</w:t>
            </w:r>
          </w:p>
        </w:tc>
        <w:tc>
          <w:tcPr>
            <w:tcW w:type="dxa" w:w="1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OpenAI, Anthropic, Google, Mistral</w:t>
            </w:r>
          </w:p>
        </w:tc>
        <w:tc>
          <w:tcPr>
            <w:tcW w:type="dxa" w:w="44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à l'usage : 0,10 à 10 $ par million de tokens en entrée selon la classe de modèle [40], [97], [99], [48] ; marges élevées sur le haut de gamme, guerre de prix sur l'entrée de gamme</w:t>
            </w:r>
          </w:p>
        </w:tc>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Modèles ouverts hébergés en Europe</w:t>
            </w:r>
          </w:p>
        </w:tc>
      </w:tr>
      <w:tr>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Plateformes d'accès aux données (messagerie, agenda, magasins d'applications)</w:t>
            </w:r>
          </w:p>
        </w:tc>
        <w:tc>
          <w:tcPr>
            <w:tcW w:type="dxa" w:w="1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Google, Apple, Microsoft</w:t>
            </w:r>
          </w:p>
        </w:tc>
        <w:tc>
          <w:tcPr>
            <w:tcW w:type="dxa" w:w="44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Pas de revenu direct, mais le pouvoir de prix : scopes Gmail « restreints » soumis à vérification et audit CASA annuel (540 à 3 000 $ et plus, 4 à 6 semaines) [115], [116] ; consentement explicite exigé par Apple avant tout partage de données avec une IA tierce (règle 5.1.2 i, novembre 2025) [117] ; interdiction des API d'accessibilité pour les agents autonomes sur Google Play [119]</w:t>
            </w:r>
          </w:p>
        </w:tc>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Réglementation d'interopérabilité (DMA)</w:t>
            </w:r>
          </w:p>
        </w:tc>
      </w:tr>
      <w:tr>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Orchestration et expérience (Helium)</w:t>
            </w:r>
          </w:p>
        </w:tc>
        <w:tc>
          <w:tcPr>
            <w:tcW w:type="dxa" w:w="1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Assistants spécialisés, généralistes avec connecteurs</w:t>
            </w:r>
          </w:p>
        </w:tc>
        <w:tc>
          <w:tcPr>
            <w:tcW w:type="dxa" w:w="44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Marge brute 56 à 79 % selon le routage des modèles (estimation : 0,10 à 0,27 $ par tâche, 150 tâches par mois) ; la mémoire du foyer crée le coût de changement</w:t>
            </w:r>
          </w:p>
        </w:tc>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 généraliste intégrant la vie personnelle à prix constant</w:t>
            </w:r>
          </w:p>
        </w:tc>
      </w:tr>
      <w:tr>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Exécution chez les tiers (réservation, services)</w:t>
            </w:r>
          </w:p>
        </w:tc>
        <w:tc>
          <w:tcPr>
            <w:tcW w:type="dxa" w:w="1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Plateformes de réservation, prestataires</w:t>
            </w:r>
          </w:p>
        </w:tc>
        <w:tc>
          <w:tcPr>
            <w:tcW w:type="dxa" w:w="44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Commissions des plateformes ; Helium n'en prend aucune dans le MVP</w:t>
            </w:r>
          </w:p>
        </w:tc>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Sans objet</w:t>
            </w:r>
          </w:p>
        </w:tc>
      </w:tr>
      <w:tr>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Service humain (conciergeries)</w:t>
            </w:r>
          </w:p>
        </w:tc>
        <w:tc>
          <w:tcPr>
            <w:tcW w:type="dxa" w:w="1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John Paul, Circles, conciergeries privées</w:t>
            </w:r>
          </w:p>
        </w:tc>
        <w:tc>
          <w:tcPr>
            <w:tcW w:type="dxa" w:w="447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Marge contrainte par le coût salarial ; prix 250 à 1 000 € par mois ; Yohana (humain, 249 $) a fermé en janvier 2026 [57]</w:t>
            </w:r>
          </w:p>
        </w:tc>
        <w:tc>
          <w:tcPr>
            <w:tcW w:type="dxa" w:w="1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Exécution automatisée fiable</w:t>
            </w:r>
          </w:p>
        </w:tc>
      </w:tr>
    </w:tbl>
    <w:p>
      <w:pPr>
        <w:spacing w:after="40"/>
      </w:pPr>
    </w:p>
    <w:p>
      <w:r>
        <w:rPr>
          <w:b/>
        </w:rPr>
        <w:t>Les deux goulets d'étranglement</w:t>
      </w:r>
      <w:r>
        <w:t xml:space="preserve"> sont tenus par des acteurs que Helium ne contrôle pas : les plateformes d'accès aux données (Google pour Gmail, Apple pour la distribution) et les fournisseurs de modèles. Le premier est un délai et un coût à budgéter dès M2 ; le second est une dépendance à gérer par le routage multi-fournisseurs et, si possible, par un fournisseur européen pour la cohérence avec la promesse d'hébergement.</w:t>
      </w:r>
    </w:p>
    <w:p>
      <w:r>
        <w:rPr>
          <w:b/>
        </w:rPr>
        <w:t>Migration du profit.</w:t>
      </w:r>
      <w:r>
        <w:t xml:space="preserve"> Il y a trois ans, la valeur était dans le modèle (prix élevés, peu de concurrence). En 2026, le prix des tokens d'entrée de gamme est divisé par dix et la valeur migre vers deux endroits : la distribution (qui possède l'accès aux données de l'utilisateur) et la confiance (qui a le mandat d'agir). Helium ne peut pas posséder la distribution ; il peut posséder le mandat.</w:t>
      </w:r>
    </w:p>
    <w:p>
      <w:pPr>
        <w:pStyle w:val="Heading1"/>
        <w:pBdr>
          <w:bottom w:val="single" w:sz="10" w:space="4" w:color="F0916A"/>
        </w:pBdr>
      </w:pPr>
      <w:r>
        <w:t>6. Concurrence (module 05)</w:t>
      </w:r>
    </w:p>
    <w:p>
      <w:r>
        <w:t>Sources publiques uniquement : pages tarifaires, centres d'aide, presse, études. Pas de matrice de fonctionnalités : elle ne dit pas qui gagne.</w:t>
      </w:r>
    </w:p>
    <w:p>
      <w:pPr>
        <w:pStyle w:val="Heading2"/>
      </w:pPr>
      <w:r>
        <w:t>6.1 Assistants généralistes</w:t>
      </w:r>
    </w:p>
    <w:tbl>
      <w:tblPr>
        <w:tblW w:type="auto" w:w="0"/>
        <w:jc w:val="center"/>
        <w:tblLayout w:type="fixed"/>
        <w:tblLook w:firstColumn="1" w:firstRow="1" w:lastColumn="0" w:lastRow="0" w:noHBand="0" w:noVBand="1" w:val="04A0"/>
      </w:tblPr>
      <w:tblGrid>
        <w:gridCol w:w="1089"/>
        <w:gridCol w:w="1269"/>
        <w:gridCol w:w="1986"/>
        <w:gridCol w:w="1939"/>
        <w:gridCol w:w="1515"/>
        <w:gridCol w:w="1616"/>
      </w:tblGrid>
      <w:tr>
        <w:tc>
          <w:tcPr>
            <w:tcW w:type="dxa" w:w="108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Acteur</w:t>
            </w:r>
          </w:p>
        </w:tc>
        <w:tc>
          <w:tcPr>
            <w:tcW w:type="dxa" w:w="126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Prix France</w:t>
            </w:r>
          </w:p>
        </w:tc>
        <w:tc>
          <w:tcPr>
            <w:tcW w:type="dxa" w:w="198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Stratégie révélée</w:t>
            </w:r>
          </w:p>
        </w:tc>
        <w:tc>
          <w:tcPr>
            <w:tcW w:type="dxa" w:w="193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Contrainte structurelle</w:t>
            </w:r>
          </w:p>
        </w:tc>
        <w:tc>
          <w:tcPr>
            <w:tcW w:type="dxa" w:w="151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Prochain mouvement probable</w:t>
            </w:r>
          </w:p>
        </w:tc>
        <w:tc>
          <w:tcPr>
            <w:tcW w:type="dxa" w:w="161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Asymétrie Helium</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OpenAI, ChatGPT</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Go 7,99 €, Plus 22,99 €, Pro 102,99 € TTC [26]</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Connecteurs Gmail et Agenda, tâches programmées, ChatGPT Work (juillet 2026) ; « dots », agents permanents avec réglage par action « agir, demander, remettre » (septembre 2026) [27], [32]</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 mode Agent autonome a été retiré en juillet 2026 sans migration ; le navigateur Atlas fermé en août ; dots exclus de l'EEE sur l'offre Pro au lancement, disponibles seulement sur Business Premium [28], [30], [31]</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Ouverture des dots en Europe dans les 6 à 18 mois, orientés travail d'abord</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Mandat par action et séparation des sphères du foyer, que la version « travail » n'a pas de raison de construire</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Google, Gemini</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AI Plus 4,99 €, AI Pro 21,99 €, AI Ultra 99,99 € [35]</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Gemini dans Gmail et Docs ; actions programmées et briefing quotidien ; Gemini Spark (agent qui réserve via Chrome et les comptes connectés) dans 160 pays [36], [38], [122]</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Spark, « Tasks in Gemini » et la navigation automatique indisponibles dans l'EEE sans explication ; Project Mariner réorganisé [37], [38], [39], [105]</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Lancement de Spark en Europe quand le cadre DMA sera réglé ; Google possède Gmail, donc l'accès aux données</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Google peut tout faire sauf être un tiers de confiance distinct de l'hébergeur des données : la séparation entre « qui lit » et « qui héberge » est l'argument</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Anthropic, Claude</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Pro ≈ 21 €, Max ≈ 105 à 210 € TTC (estimations tierces) [40], [41]</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Intégrations Gmail et Agenda avec approbation avant envoi ; Claude Duet, agent proactif avec briefing du matin, en aperçu réservé aux États-Unis [42], [43]</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 d'offre « vie personnelle » hors États-Unis ; positionnement travail et développeurs</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Duet en Europe en 2027</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Même asymétrie : foyer, conformité France, canal employeur</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Microsoft, Copilot</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Microsoft 365 Premium 22 € [44]</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Copilot Actions réserve via OpenTable, Booking, Expedia (avril 2025) [45]</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Disponibilité par région non documentée ; pas de données de fiabilité publiées</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Intégration Outlook et Teams, orientation professionnelle</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Idem</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Apple, Siri</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Inclus avec l'appareil</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Siri AI (iOS 27) annoncé en juin 2026</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En anglais seulement et indisponible sur iPhone dans l'UE pour cause de DMA ; sans calendrier [47]</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Arrivée en Europe sans date</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Apple est aussi la plateforme : sa règle de consentement protège Helium autant qu'elle le contraint</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Mistral, Le Chat</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Pro 17,99 € TTC [49]</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Connecteurs Gmail, Agenda, Outlook, Drive ; actions revues avant exécution ; hébergement européen [50]</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Actions d'écriture peu documentées ; pas de positionnement vie personnelle</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Partenariats entreprises</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Mistral est un fournisseur possible pour Helium, pas seulement un concurrent : hébergement UE cohérent avec la promesse</w:t>
            </w:r>
          </w:p>
        </w:tc>
      </w:tr>
      <w:tr>
        <w:tc>
          <w:tcPr>
            <w:tcW w:type="dxa" w:w="10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Meta, Muse</w:t>
            </w:r>
          </w:p>
        </w:tc>
        <w:tc>
          <w:tcPr>
            <w:tcW w:type="dxa" w:w="126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Gratuit, 20 $, 100 $ [51]</w:t>
            </w:r>
          </w:p>
        </w:tc>
        <w:tc>
          <w:tcPr>
            <w:tcW w:type="dxa" w:w="198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Envoie des courriels, réserve, remplit des formulaires, carte de paiement à usage unique ; permissions Sentinel [51], [52]</w:t>
            </w:r>
          </w:p>
        </w:tc>
        <w:tc>
          <w:tcPr>
            <w:tcW w:type="dxa" w:w="19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Réservé aux États-Unis, sans date pour l'UE ; WhatsApp fermé aux assistants tiers depuis janvier 2026 [52], [53]</w:t>
            </w:r>
          </w:p>
        </w:tc>
        <w:tc>
          <w:tcPr>
            <w:tcW w:type="dxa" w:w="15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Lancement UE quand le cadre sera clair</w:t>
            </w:r>
          </w:p>
        </w:tc>
        <w:tc>
          <w:tcPr>
            <w:tcW w:type="dxa" w:w="16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 canal WhatsApp est fermé à Helium comme aux autres : application native, courriel et SMS</w:t>
            </w:r>
          </w:p>
        </w:tc>
      </w:tr>
    </w:tbl>
    <w:p>
      <w:pPr>
        <w:spacing w:after="40"/>
      </w:pPr>
    </w:p>
    <w:p>
      <w:r>
        <w:t>Lecture d'ensemble : en octobre 2026, tout agent proactif « qui agit pour vous » des majors américains est indisponible dans l'EEE (dots sur Pro, Spark, Duet, Siri AI, Muse). Ce qu'un cadre français peut acheter aujourd'hui est un assistant conversationnel avec lecture et écriture sous approbation sur Gmail et Agenda, à 18 à 23 € par mois. C'est l'espace que Helium occupe, et c'est une fenêtre, pas un fossé.</w:t>
      </w:r>
    </w:p>
    <w:p>
      <w:pPr>
        <w:pStyle w:val="Heading2"/>
      </w:pPr>
      <w:r>
        <w:t>6.2 Assistants personnels IA spécialisés</w:t>
      </w:r>
    </w:p>
    <w:tbl>
      <w:tblPr>
        <w:tblW w:type="auto" w:w="0"/>
        <w:jc w:val="center"/>
        <w:tblLayout w:type="fixed"/>
        <w:tblLook w:firstColumn="1" w:firstRow="1" w:lastColumn="0" w:lastRow="0" w:noHBand="0" w:noVBand="1" w:val="04A0"/>
      </w:tblPr>
      <w:tblGrid>
        <w:gridCol w:w="1433"/>
        <w:gridCol w:w="1027"/>
        <w:gridCol w:w="2621"/>
        <w:gridCol w:w="2124"/>
        <w:gridCol w:w="2207"/>
      </w:tblGrid>
      <w:tr>
        <w:tc>
          <w:tcPr>
            <w:tcW w:type="dxa" w:w="143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Acteur (pays)</w:t>
            </w:r>
          </w:p>
        </w:tc>
        <w:tc>
          <w:tcPr>
            <w:tcW w:type="dxa" w:w="102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Prix</w:t>
            </w:r>
          </w:p>
        </w:tc>
        <w:tc>
          <w:tcPr>
            <w:tcW w:type="dxa" w:w="262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Positionnement et exécution</w:t>
            </w:r>
          </w:p>
        </w:tc>
        <w:tc>
          <w:tcPr>
            <w:tcW w:type="dxa" w:w="212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Signal</w:t>
            </w:r>
          </w:p>
        </w:tc>
        <w:tc>
          <w:tcPr>
            <w:tcW w:type="dxa" w:w="22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Enseignement pour Helium</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Yohana (États-Unis, Panasonic)</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249 $ par mois</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Spécialistes humains qui recherchent, comparent et réservent ; application en façade</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Service arrêté fin janvier 2026, filiale dissoute en mars 2026, après 300 000 tâches [57], [58]</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Un majordome à coût humain ne survit pas à 249 $ ; la thèse « 100 % IA » est la seule qui tienne à 79 €</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Ohai.ai (États-Unis)</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Gratuit, Premium 9,99 $</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Système d'exploitation du foyer pour parents : lit les courriels d'école, remplit le calendrier familial ; humains en renfort [59], [60]</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Tour stratégique menée par Muse Capital (août 2025)</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 segment familial existe aux États-Unis ; prix bas, exécution limitée</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Martin (États-Unis, YC)</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30 $ et 99 $</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Trie la boîte mail, planifie, appelle et écrit au nom de l'utilisateur [61], [62]</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2 M$ de seed, 10 000 utilisateurs ; onboarding de 2 à 4 semaines, langues autres que l'anglais « 6 à 12 mois en retard »</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Un produit français avec onboarding en dix minutes est différencié</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Milo (États-Unis, YC)</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40 $ en bêta</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Logistique des parents par SMS, humain dans la boucle</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Inactif [64]</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Deuxième échec d'un modèle avec humain</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Lindy, Fyxer, Motion, Reclaim</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8 à 50 $</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Productivité professionnelle (boîte mail, réunions, calendrier)</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Actifs, B2B</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le même marché</w:t>
            </w:r>
          </w:p>
        </w:tc>
      </w:tr>
      <w:tr>
        <w:tc>
          <w:tcPr>
            <w:tcW w:type="dxa" w:w="143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Wiidii (Bordeaux), TheAssistant (Paris)</w:t>
            </w:r>
          </w:p>
        </w:tc>
        <w:tc>
          <w:tcPr>
            <w:tcW w:type="dxa" w:w="10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Non public</w:t>
            </w:r>
          </w:p>
        </w:tc>
        <w:tc>
          <w:tcPr>
            <w:tcW w:type="dxa" w:w="2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Hybrides IA et humains, largement B2B2C</w:t>
            </w:r>
          </w:p>
        </w:tc>
        <w:tc>
          <w:tcPr>
            <w:tcW w:type="dxa" w:w="212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Wiidii 9,95 M$ levés ; pas de signal grand public 2025-2026 [70], [71]</w:t>
            </w:r>
          </w:p>
        </w:tc>
        <w:tc>
          <w:tcPr>
            <w:tcW w:type="dxa" w:w="22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 acteur français B2C avec prix public et traction (inconnu)</w:t>
            </w:r>
          </w:p>
        </w:tc>
      </w:tr>
    </w:tbl>
    <w:p>
      <w:pPr>
        <w:spacing w:after="40"/>
      </w:pPr>
    </w:p>
    <w:p>
      <w:pPr>
        <w:pStyle w:val="Heading2"/>
      </w:pPr>
      <w:r>
        <w:t>6.3 Conciergeries humaines</w:t>
      </w:r>
    </w:p>
    <w:tbl>
      <w:tblPr>
        <w:tblW w:type="auto" w:w="0"/>
        <w:jc w:val="center"/>
        <w:tblLayout w:type="fixed"/>
        <w:tblLook w:firstColumn="1" w:firstRow="1" w:lastColumn="0" w:lastRow="0" w:noHBand="0" w:noVBand="1" w:val="04A0"/>
      </w:tblPr>
      <w:tblGrid>
        <w:gridCol w:w="1821"/>
        <w:gridCol w:w="3210"/>
        <w:gridCol w:w="2483"/>
        <w:gridCol w:w="1898"/>
      </w:tblGrid>
      <w:tr>
        <w:tc>
          <w:tcPr>
            <w:tcW w:type="dxa" w:w="182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Segment</w:t>
            </w:r>
          </w:p>
        </w:tc>
        <w:tc>
          <w:tcPr>
            <w:tcW w:type="dxa" w:w="321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Prix</w:t>
            </w:r>
          </w:p>
        </w:tc>
        <w:tc>
          <w:tcPr>
            <w:tcW w:type="dxa" w:w="248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Signal</w:t>
            </w:r>
          </w:p>
        </w:tc>
        <w:tc>
          <w:tcPr>
            <w:tcW w:type="dxa" w:w="189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Source</w:t>
            </w:r>
          </w:p>
        </w:tc>
      </w:tr>
      <w:tr>
        <w:tc>
          <w:tcPr>
            <w:tcW w:type="dxa" w:w="18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Conciergerie d'entreprise numérique</w:t>
            </w:r>
          </w:p>
        </w:tc>
        <w:tc>
          <w:tcPr>
            <w:tcW w:type="dxa" w:w="32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à 10 € par salarié et par mois ; hybride 10 à 20 € ; sur site 250 à 500 € par mois pour une PME</w:t>
            </w:r>
          </w:p>
        </w:tc>
        <w:tc>
          <w:tcPr>
            <w:tcW w:type="dxa" w:w="24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Moins de 1 % des salariés couverts ; 83 % de la demande vient des cadres et managers (étude ancienne)</w:t>
            </w:r>
          </w:p>
        </w:tc>
        <w:tc>
          <w:tcPr>
            <w:tcW w:type="dxa" w:w="189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[76], [77], [74], [81]</w:t>
            </w:r>
          </w:p>
        </w:tc>
      </w:tr>
      <w:tr>
        <w:tc>
          <w:tcPr>
            <w:tcW w:type="dxa" w:w="18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Conciergerie privée pour particuliers</w:t>
            </w:r>
          </w:p>
        </w:tc>
        <w:tc>
          <w:tcPr>
            <w:tcW w:type="dxa" w:w="32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250 à 600 € par mois ; 700 à 1 000 € en formule famille ; 80 à 100 € de l'heure à l'acte</w:t>
            </w:r>
          </w:p>
        </w:tc>
        <w:tc>
          <w:tcPr>
            <w:tcW w:type="dxa" w:w="24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observés chez cinq acteurs</w:t>
            </w:r>
          </w:p>
        </w:tc>
        <w:tc>
          <w:tcPr>
            <w:tcW w:type="dxa" w:w="189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[79] (vendeur de business plans, fiabilité faible)</w:t>
            </w:r>
          </w:p>
        </w:tc>
      </w:tr>
      <w:tr>
        <w:tc>
          <w:tcPr>
            <w:tcW w:type="dxa" w:w="18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Conciergerie de luxe, Paris</w:t>
            </w:r>
          </w:p>
        </w:tc>
        <w:tc>
          <w:tcPr>
            <w:tcW w:type="dxa" w:w="32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3 000 à 15 000 € par an</w:t>
            </w:r>
          </w:p>
        </w:tc>
        <w:tc>
          <w:tcPr>
            <w:tcW w:type="dxa" w:w="24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Haut de gamme</w:t>
            </w:r>
          </w:p>
        </w:tc>
        <w:tc>
          <w:tcPr>
            <w:tcW w:type="dxa" w:w="189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[78] (agence immobilière, argumentaire)</w:t>
            </w:r>
          </w:p>
        </w:tc>
      </w:tr>
      <w:tr>
        <w:tc>
          <w:tcPr>
            <w:tcW w:type="dxa" w:w="18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John Paul (Accor)</w:t>
            </w:r>
          </w:p>
        </w:tc>
        <w:tc>
          <w:tcPr>
            <w:tcW w:type="dxa" w:w="321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Marque blanche B2B2C ; 97 % de clients entreprises</w:t>
            </w:r>
          </w:p>
        </w:tc>
        <w:tc>
          <w:tcPr>
            <w:tcW w:type="dxa" w:w="24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80 M$ de chiffre d'affaires en 2017</w:t>
            </w:r>
          </w:p>
        </w:tc>
        <w:tc>
          <w:tcPr>
            <w:tcW w:type="dxa" w:w="189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[80] (ancien)</w:t>
            </w:r>
          </w:p>
        </w:tc>
      </w:tr>
    </w:tbl>
    <w:p>
      <w:pPr>
        <w:spacing w:after="40"/>
      </w:pPr>
    </w:p>
    <w:p>
      <w:r>
        <w:t>Lecture : le canal employeur existe déjà avec un prix de marché (5 à 20 € par salarié et par mois) et un acheteur identifié (RH, CSE). Helium peut s'y présenter comme « conciergerie d'exécution », à un prix par salarié compatible avec ces grilles, sans que l'employeur voie quoi que ce soit des données.</w:t>
      </w:r>
    </w:p>
    <w:p>
      <w:pPr>
        <w:pStyle w:val="Heading2"/>
      </w:pPr>
      <w:r>
        <w:t>6.4 Applications d'organisation familiale</w:t>
      </w:r>
    </w:p>
    <w:p>
      <w:r>
        <w:t>Cozi Gold 39 $ par an, FamilyWall 7,99 $ par mois, TimeTree 4,49 $ par mois, Share(d) gratuit [84] à [87]. Aucune n'exécute. Les avis d'utilisateurs citent les échecs de synchronisation et les formats américains [108]. Leur plafond de prix (4 à 8 € par mois) est l'ancre « organisation » que l'offre Family à 129 € doit dépasser par l'exécution, jamais par le stockage.</w:t>
      </w:r>
    </w:p>
    <w:p>
      <w:pPr>
        <w:pStyle w:val="Heading1"/>
        <w:pBdr>
          <w:bottom w:val="single" w:sz="10" w:space="4" w:color="F0916A"/>
        </w:pBdr>
      </w:pPr>
      <w:r>
        <w:t>7. Espaces blancs et douleurs non servies</w:t>
      </w:r>
    </w:p>
    <w:p>
      <w:pPr>
        <w:spacing w:after="60"/>
        <w:ind w:left="425" w:hanging="425"/>
      </w:pPr>
      <w:r>
        <w:rPr>
          <w:b/>
        </w:rPr>
        <w:t>1.</w:t>
        <w:tab/>
      </w:r>
      <w:r>
        <w:rPr>
          <w:b/>
        </w:rPr>
        <w:t>Les agents ne sont pas vendus en France.</w:t>
      </w:r>
      <w:r>
        <w:t xml:space="preserve"> Tous les agents proactifs grand public sont exclus de l'EEE en octobre 2026 [31], [38], [39], [43], [47], [52]. Fenêtre de 12 à 24 mois (estimation), pas un fossé : les dots Business Premium sont déjà disponibles partout [31].</w:t>
      </w:r>
    </w:p>
    <w:p>
      <w:pPr>
        <w:spacing w:after="60"/>
        <w:ind w:left="425" w:hanging="425"/>
      </w:pPr>
      <w:r>
        <w:rPr>
          <w:b/>
        </w:rPr>
        <w:t>2.</w:t>
        <w:tab/>
      </w:r>
      <w:r>
        <w:rPr>
          <w:b/>
        </w:rPr>
        <w:t>Planifier n'est pas exécuter, et exécuter n'est pas juger.</w:t>
      </w:r>
      <w:r>
        <w:t xml:space="preserve"> Une journaliste qui a confié sa semaine à ChatGPT le trouve fort en logistique et aveugle au contexte [104]. La couche d'anticipation de Helium doit lire l'agenda et les courriels, pas seulement les planifier.</w:t>
      </w:r>
    </w:p>
    <w:p>
      <w:pPr>
        <w:spacing w:after="60"/>
        <w:ind w:left="425" w:hanging="425"/>
      </w:pPr>
      <w:r>
        <w:rPr>
          <w:b/>
        </w:rPr>
        <w:t>3.</w:t>
        <w:tab/>
      </w:r>
      <w:r>
        <w:rPr>
          <w:b/>
        </w:rPr>
        <w:t>Les agents de réservation sont peu fiables et opaques.</w:t>
      </w:r>
      <w:r>
        <w:t xml:space="preserve"> Une revue française du secteur du voyage relève que 90 % des plans de voyage générés contiennent des erreurs, des prix différents au paiement, des contraintes mal gérées et une responsabilité non résolue sur les réservations non remboursables [105]. La confirmation avant engagement est ce que ces revues réclament.</w:t>
      </w:r>
    </w:p>
    <w:p>
      <w:pPr>
        <w:spacing w:after="60"/>
        <w:ind w:left="425" w:hanging="425"/>
      </w:pPr>
      <w:r>
        <w:rPr>
          <w:b/>
        </w:rPr>
        <w:t>4.</w:t>
        <w:tab/>
      </w:r>
      <w:r>
        <w:rPr>
          <w:b/>
        </w:rPr>
        <w:t>La confiance est la contrainte.</w:t>
      </w:r>
      <w:r>
        <w:t xml:space="preserve"> 52 % de défiance, 43 % de délégation sous validation [23]. Permission progressive plutôt qu'accès total à l'inscription.</w:t>
      </w:r>
    </w:p>
    <w:p>
      <w:pPr>
        <w:spacing w:after="60"/>
        <w:ind w:left="425" w:hanging="425"/>
      </w:pPr>
      <w:r>
        <w:rPr>
          <w:b/>
        </w:rPr>
        <w:t>5.</w:t>
        <w:tab/>
      </w:r>
      <w:r>
        <w:rPr>
          <w:b/>
        </w:rPr>
        <w:t>Les conciergeries humaines sont réservées au sommet.</w:t>
      </w:r>
      <w:r>
        <w:t xml:space="preserve"> 3 000 à 15 000 € par an ; moins de 1 % des salariés couverts par une conciergerie d'entreprise ; le coût est le premier frein à la délégation (42 %) [22], [74], [78].</w:t>
      </w:r>
    </w:p>
    <w:p>
      <w:pPr>
        <w:spacing w:after="60"/>
        <w:ind w:left="425" w:hanging="425"/>
      </w:pPr>
      <w:r>
        <w:rPr>
          <w:b/>
        </w:rPr>
        <w:t>6.</w:t>
        <w:tab/>
      </w:r>
      <w:r>
        <w:rPr>
          <w:b/>
        </w:rPr>
        <w:t>Les majordomes à base humaine ne passent pas à l'échelle.</w:t>
      </w:r>
      <w:r>
        <w:t xml:space="preserve"> Yohana fermé, Milo inactif, Wiidii passé en B2B2C [57], [64], [70].</w:t>
      </w:r>
    </w:p>
    <w:p>
      <w:pPr>
        <w:spacing w:after="60"/>
        <w:ind w:left="425" w:hanging="425"/>
      </w:pPr>
      <w:r>
        <w:rPr>
          <w:b/>
        </w:rPr>
        <w:t>7.</w:t>
        <w:tab/>
      </w:r>
      <w:r>
        <w:rPr>
          <w:b/>
        </w:rPr>
        <w:t>Les applications familiales sont passives et fragiles</w:t>
      </w:r>
      <w:r>
        <w:t xml:space="preserve"> [108].</w:t>
      </w:r>
    </w:p>
    <w:p>
      <w:pPr>
        <w:spacing w:after="60"/>
        <w:ind w:left="425" w:hanging="425"/>
      </w:pPr>
      <w:r>
        <w:rPr>
          <w:b/>
        </w:rPr>
        <w:t>8.</w:t>
        <w:tab/>
      </w:r>
      <w:r>
        <w:rPr>
          <w:b/>
        </w:rPr>
        <w:t>Les plateformes ferment des portes.</w:t>
      </w:r>
      <w:r>
        <w:t xml:space="preserve"> WhatsApp interdit aux assistants tiers depuis janvier 2026 [53] : l'entrée se fait par application native, courriel et SMS.</w:t>
      </w:r>
    </w:p>
    <w:p>
      <w:pPr>
        <w:pStyle w:val="Heading1"/>
        <w:pBdr>
          <w:bottom w:val="single" w:sz="10" w:space="4" w:color="F0916A"/>
        </w:pBdr>
      </w:pPr>
      <w:r>
        <w:t>8. War-game (module 16)</w:t>
      </w:r>
    </w:p>
    <w:p>
      <w:r>
        <w:rPr>
          <w:b/>
        </w:rPr>
        <w:t>Le mouvement visible.</w:t>
      </w:r>
      <w:r>
        <w:t xml:space="preserve"> Lancement de Helium Premium en France à 79 €, cadres pressés, dix missions sous mandat.</w:t>
      </w:r>
    </w:p>
    <w:p>
      <w:r>
        <w:rPr>
          <w:b/>
        </w:rPr>
        <w:t>Les joueurs et leurs fonctions objectif.</w:t>
      </w:r>
      <w:r>
        <w:t xml:space="preserve"> OpenAI et Google : conquérir l'Europe dès que le cadre réglementaire le permet, à prix constant, en priorité sur le marché du travail ; Mistral : vendre son hébergement européen aux entreprises ; Apple et Google en tant que plateformes : protéger leurs utilisateurs et leur règle de consentement ; les conciergeries : défendre leurs contrats employeurs ; en interne : six fondateurs qui doivent choisir de continuer.</w:t>
      </w:r>
    </w:p>
    <w:p>
      <w:r>
        <w:rPr>
          <w:b/>
        </w:rPr>
        <w:t>Trois rounds.</w:t>
      </w:r>
      <w:r>
        <w:t xml:space="preserve"> Round 1 : Helium lance et démontre une mission de bout en bout. Round 2 : un généraliste annonce un mode « vie personnelle » avec connecteurs et mémoire à 20 à 30 € et l'ouvre en Europe ; l'écart fonctionnel se referme en six mois. Round 3 : Helium ne peut pas gagner sur la fonctionnalité ; il gagne sur ce qu'ils ne feront pas, parce que leur fonction objectif ne le leur demande pas : le mandat par action, le journal opposable, la séparation des sphères du foyer, la conformité française, et le canal employeur où l'acheteur paie la conformité.</w:t>
      </w:r>
    </w:p>
    <w:p>
      <w:r>
        <w:rPr>
          <w:b/>
        </w:rPr>
        <w:t>La réponse que nous ne pouvons pas contrer.</w:t>
      </w:r>
      <w:r>
        <w:t xml:space="preserve"> Un généraliste qui offrirait gratuitement, dans son abonnement à 22 €, une exécution proactive avec mémoire du foyer, journal et validation par action, en Europe. Si cela arrive avant notre lancement, l'option B2C premium ne tient plus et la voie employeur ou la marque blanche deviennent les voies principales.</w:t>
      </w:r>
    </w:p>
    <w:tbl>
      <w:tblPr>
        <w:tblW w:type="auto" w:w="0"/>
        <w:jc w:val="center"/>
        <w:tblLayout w:type="fixed"/>
        <w:tblLook w:firstColumn="1" w:firstRow="1" w:lastColumn="0" w:lastRow="0" w:noHBand="0" w:noVBand="1" w:val="04A0"/>
      </w:tblPr>
      <w:tblGrid>
        <w:gridCol w:w="4117"/>
        <w:gridCol w:w="5295"/>
      </w:tblGrid>
      <w:tr>
        <w:tc>
          <w:tcPr>
            <w:tcW w:type="dxa" w:w="411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Déclencheur observable</w:t>
            </w:r>
          </w:p>
        </w:tc>
        <w:tc>
          <w:tcPr>
            <w:tcW w:type="dxa" w:w="529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Réponse pré-décidée</w:t>
            </w:r>
          </w:p>
        </w:tc>
      </w:tr>
      <w:tr>
        <w:tc>
          <w:tcPr>
            <w:tcW w:type="dxa" w:w="41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Lancement dans l'EEE des dots sur l'offre Pro, de Gemini Spark ou de Claude Duet</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Revue de prix sous 30 jours ; recentrage sur le mandat et la conformité ; accélération du canal employeur</w:t>
            </w:r>
          </w:p>
        </w:tc>
      </w:tr>
      <w:tr>
        <w:tc>
          <w:tcPr>
            <w:tcW w:type="dxa" w:w="41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 généraliste offre l'exécution proactive avec mémoire du foyer sous 30 € en Europe</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Bascule vers l'option employeur ou la marque blanche ; arrêt des dépenses d'acquisition B2C</w:t>
            </w:r>
          </w:p>
        </w:tc>
      </w:tr>
      <w:tr>
        <w:tc>
          <w:tcPr>
            <w:tcW w:type="dxa" w:w="41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Google durcit l'accès aux scopes Gmail</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Mode dégradé par transfert de courriels ; priorité au connecteur Agenda</w:t>
            </w:r>
          </w:p>
        </w:tc>
      </w:tr>
      <w:tr>
        <w:tc>
          <w:tcPr>
            <w:tcW w:type="dxa" w:w="41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Une conciergerie lance une offre IA à 99 €</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Proposer la couche d'exécution en marque blanche plutôt que concurrencer</w:t>
            </w:r>
          </w:p>
        </w:tc>
      </w:tr>
      <w:tr>
        <w:tc>
          <w:tcPr>
            <w:tcW w:type="dxa" w:w="411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Churn du pilote supérieur à 5 % par mois</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Pas de montée en charge ; entretiens de résiliation ; périmètre réduit</w:t>
            </w:r>
          </w:p>
        </w:tc>
      </w:tr>
    </w:tbl>
    <w:p>
      <w:pPr>
        <w:spacing w:after="40"/>
      </w:pPr>
    </w:p>
    <w:p>
      <w:pPr>
        <w:pStyle w:val="Heading1"/>
        <w:pBdr>
          <w:bottom w:val="single" w:sz="10" w:space="4" w:color="F0916A"/>
        </w:pBdr>
      </w:pPr>
      <w:r>
        <w:t>9. Avantage sur les concurrents et durabilité</w:t>
      </w:r>
    </w:p>
    <w:tbl>
      <w:tblPr>
        <w:tblW w:type="auto" w:w="0"/>
        <w:jc w:val="center"/>
        <w:tblLayout w:type="fixed"/>
        <w:tblLook w:firstColumn="1" w:firstRow="1" w:lastColumn="0" w:lastRow="0" w:noHBand="0" w:noVBand="1" w:val="04A0"/>
      </w:tblPr>
      <w:tblGrid>
        <w:gridCol w:w="1529"/>
        <w:gridCol w:w="3709"/>
        <w:gridCol w:w="2439"/>
        <w:gridCol w:w="1735"/>
      </w:tblGrid>
      <w:tr>
        <w:tc>
          <w:tcPr>
            <w:tcW w:type="dxa" w:w="152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Source d'avantage</w:t>
            </w:r>
          </w:p>
        </w:tc>
        <w:tc>
          <w:tcPr>
            <w:tcW w:type="dxa" w:w="37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Mécanisme</w:t>
            </w:r>
          </w:p>
        </w:tc>
        <w:tc>
          <w:tcPr>
            <w:tcW w:type="dxa" w:w="243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Durabilité</w:t>
            </w:r>
          </w:p>
        </w:tc>
        <w:tc>
          <w:tcPr>
            <w:tcW w:type="dxa" w:w="173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Ce qui le défait</w:t>
            </w:r>
          </w:p>
        </w:tc>
      </w:tr>
      <w:tr>
        <w:tc>
          <w:tcPr>
            <w:tcW w:type="dxa" w:w="15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mandat par action et le journal opposable</w:t>
            </w:r>
          </w:p>
        </w:tc>
        <w:tc>
          <w:tcPr>
            <w:tcW w:type="dxa" w:w="3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Confiance mesurable ; répond directement au 52 % de défiance et aux recommandations CNIL et CIANum de juillet 2026 [111], [112]</w:t>
            </w:r>
          </w:p>
        </w:tc>
        <w:tc>
          <w:tcPr>
            <w:tcW w:type="dxa" w:w="2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Moyenne : copiable, mais contraire à la fonction objectif des généralistes (friction)</w:t>
            </w:r>
          </w:p>
        </w:tc>
        <w:tc>
          <w:tcPr>
            <w:tcW w:type="dxa" w:w="173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 généraliste qui accepte la friction</w:t>
            </w:r>
          </w:p>
        </w:tc>
      </w:tr>
      <w:tr>
        <w:tc>
          <w:tcPr>
            <w:tcW w:type="dxa" w:w="15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 mémoire du foyer</w:t>
            </w:r>
          </w:p>
        </w:tc>
        <w:tc>
          <w:tcPr>
            <w:tcW w:type="dxa" w:w="3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de changement : préférences, personnes, lieux, habitudes accumulés</w:t>
            </w:r>
          </w:p>
        </w:tc>
        <w:tc>
          <w:tcPr>
            <w:tcW w:type="dxa" w:w="2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Forte après trois mois d'usage</w:t>
            </w:r>
          </w:p>
        </w:tc>
        <w:tc>
          <w:tcPr>
            <w:tcW w:type="dxa" w:w="173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Portabilité imposée par la réglementation</w:t>
            </w:r>
          </w:p>
        </w:tc>
      </w:tr>
      <w:tr>
        <w:tc>
          <w:tcPr>
            <w:tcW w:type="dxa" w:w="15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 conformité française comme produit</w:t>
            </w:r>
          </w:p>
        </w:tc>
        <w:tc>
          <w:tcPr>
            <w:tcW w:type="dxa" w:w="3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AIPD, charte des agents, hébergement européen, transparence IA (règlement 2024/1689, art. 50) : un argument de vente pour la cible et pour les employeurs</w:t>
            </w:r>
          </w:p>
        </w:tc>
        <w:tc>
          <w:tcPr>
            <w:tcW w:type="dxa" w:w="2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Forte tant que les majors sont freinés par le DMA (12 à 24 mois)</w:t>
            </w:r>
          </w:p>
        </w:tc>
        <w:tc>
          <w:tcPr>
            <w:tcW w:type="dxa" w:w="173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Levée des restrictions européennes</w:t>
            </w:r>
          </w:p>
        </w:tc>
      </w:tr>
      <w:tr>
        <w:tc>
          <w:tcPr>
            <w:tcW w:type="dxa" w:w="15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canal employeur</w:t>
            </w:r>
          </w:p>
        </w:tc>
        <w:tc>
          <w:tcPr>
            <w:tcW w:type="dxa" w:w="3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de marché existant (5 à 20 € par salarié), acheteur identifié, CAC proche de zéro</w:t>
            </w:r>
          </w:p>
        </w:tc>
        <w:tc>
          <w:tcPr>
            <w:tcW w:type="dxa" w:w="2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Forte si deux pilotes employeurs prouvent la conversion</w:t>
            </w:r>
          </w:p>
        </w:tc>
        <w:tc>
          <w:tcPr>
            <w:tcW w:type="dxa" w:w="173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Cycle de vente de 6 à 9 mois</w:t>
            </w:r>
          </w:p>
        </w:tc>
      </w:tr>
      <w:tr>
        <w:tc>
          <w:tcPr>
            <w:tcW w:type="dxa" w:w="15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périmètre étroit</w:t>
            </w:r>
          </w:p>
        </w:tc>
        <w:tc>
          <w:tcPr>
            <w:tcW w:type="dxa" w:w="3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Dix missions fiables à 80 % plutôt qu'un agent universel</w:t>
            </w:r>
          </w:p>
        </w:tc>
        <w:tc>
          <w:tcPr>
            <w:tcW w:type="dxa" w:w="24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Faible seule, forte combinée à la confiance</w:t>
            </w:r>
          </w:p>
        </w:tc>
        <w:tc>
          <w:tcPr>
            <w:tcW w:type="dxa" w:w="173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Un agent universel fiable</w:t>
            </w:r>
          </w:p>
        </w:tc>
      </w:tr>
    </w:tbl>
    <w:p>
      <w:pPr>
        <w:spacing w:after="40"/>
      </w:pPr>
    </w:p>
    <w:p>
      <w:r>
        <w:t>Honnêteté sur la durabilité : aucun de ces avantages n'est un fossé permanent. Ensemble, ils achètent douze à vingt-quatre mois pour construire la mémoire du foyer et le canal employeur, qui sont les deux seuls actifs qui survivent à l'arrivée des généralistes en Europe.</w:t>
      </w:r>
    </w:p>
    <w:p>
      <w:pPr>
        <w:pStyle w:val="Heading1"/>
        <w:pBdr>
          <w:bottom w:val="single" w:sz="10" w:space="4" w:color="F0916A"/>
        </w:pBdr>
      </w:pPr>
      <w:r>
        <w:t>10. Ce que l'analyse ne dit pas</w:t>
      </w:r>
    </w:p>
    <w:tbl>
      <w:tblPr>
        <w:tblW w:type="auto" w:w="0"/>
        <w:jc w:val="center"/>
        <w:tblLayout w:type="fixed"/>
        <w:tblLook w:firstColumn="1" w:firstRow="1" w:lastColumn="0" w:lastRow="0" w:noHBand="0" w:noVBand="1" w:val="04A0"/>
      </w:tblPr>
      <w:tblGrid>
        <w:gridCol w:w="3215"/>
        <w:gridCol w:w="2804"/>
        <w:gridCol w:w="3393"/>
      </w:tblGrid>
      <w:tr>
        <w:tc>
          <w:tcPr>
            <w:tcW w:type="dxa" w:w="321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Inconnu</w:t>
            </w:r>
          </w:p>
        </w:tc>
        <w:tc>
          <w:tcPr>
            <w:tcW w:type="dxa" w:w="280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Pourquoi cela compte</w:t>
            </w:r>
          </w:p>
        </w:tc>
        <w:tc>
          <w:tcPr>
            <w:tcW w:type="dxa" w:w="33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Comment le mesurer</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Consentement à payer 79 € par mois chez les cadres</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Décide de l'option A ou B</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Van Westendorp dans les 30 entretiens, puis 10 pilotes payants</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réel par mission et nombre de missions par abonné</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Décide de la marge (56 à 79 % selon le routage)</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Prototype des missions 1 et 5, journalisation des tokens, cinq utilisateurs, une semaine</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CAC par abonné payant en France</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Aucune source publique ; estimation 150 à 300 € via les entonnoirs d'applications</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Trois pages d'atterrissage, cohortes, trois mois</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Part des cadres dont le conjoint est cadre (donnée nationale 2023-2025)</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Taille du segment Family</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Microdonnées Insee, enquête Emploi</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Temps consacré aux démarches administratives</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Argument de valeur et plafond de prix</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Carnet de bord en entretien ; Insee 2027</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Existence d'un acteur français B2C comparable</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Risque d'un concurrent direct invisible</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Veille Dealroom, App Store France, Station F</w:t>
            </w:r>
          </w:p>
        </w:tc>
      </w:tr>
      <w:tr>
        <w:tc>
          <w:tcPr>
            <w:tcW w:type="dxa" w:w="32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Taille du sous-segment conciergerie privée B2C</w:t>
            </w:r>
          </w:p>
        </w:tc>
        <w:tc>
          <w:tcPr>
            <w:tcW w:type="dxa" w:w="28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Référence de prix</w:t>
            </w:r>
          </w:p>
        </w:tc>
        <w:tc>
          <w:tcPr>
            <w:tcW w:type="dxa" w:w="33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Achat de l'étude Xerfi ; visites mystère</w:t>
            </w:r>
          </w:p>
        </w:tc>
      </w:tr>
    </w:tbl>
    <w:p>
      <w:pPr>
        <w:spacing w:after="40"/>
      </w:pPr>
    </w:p>
    <w:p>
      <w:pPr>
        <w:pStyle w:val="Heading1"/>
        <w:pBdr>
          <w:bottom w:val="single" w:sz="10" w:space="4" w:color="F0916A"/>
        </w:pBdr>
      </w:pPr>
      <w:r>
        <w:t>Sources principales</w:t>
      </w:r>
    </w:p>
    <w:p>
      <w:r>
        <w:t xml:space="preserve">Références numérotées complètes (122 entrées, avec URL et date de consultation) dans le dossier de recherche joint : </w:t>
      </w:r>
      <w:r>
        <w:rPr>
          <w:rFonts w:ascii="Consolas" w:hAnsi="Consolas" w:eastAsia="Consolas"/>
        </w:rPr>
        <w:t>2026 1027 References marche et concurrence.md</w:t>
      </w:r>
      <w:r>
        <w:t>. Les plus structurantes :</w:t>
      </w:r>
    </w:p>
    <w:p>
      <w:pPr>
        <w:pStyle w:val="ListBullet"/>
      </w:pPr>
      <w:r>
        <w:t>[1] Insee, enquête Emploi 2025, population par CSP (avril 2026). https://www.insee.fr/fr/statistiques/2381478</w:t>
      </w:r>
    </w:p>
    <w:p>
      <w:pPr>
        <w:pStyle w:val="ListBullet"/>
      </w:pPr>
      <w:r>
        <w:t>[2] Insee Références, Professions et secteurs d'activité, données 2024 (juin 2025). https://www.insee.fr/fr/statistiques/8376826</w:t>
      </w:r>
    </w:p>
    <w:p>
      <w:pPr>
        <w:pStyle w:val="ListBullet"/>
      </w:pPr>
      <w:r>
        <w:t>[3] Insee Focus 205, Les cadres : de plus en plus de femmes (2020). https://www.insee.fr/fr/statistiques/4768237</w:t>
      </w:r>
    </w:p>
    <w:p>
      <w:pPr>
        <w:pStyle w:val="ListBullet"/>
      </w:pPr>
      <w:r>
        <w:t>[5] Apec, Portrait statistique des cadres du secteur privé, édition 2023.</w:t>
      </w:r>
    </w:p>
    <w:p>
      <w:pPr>
        <w:pStyle w:val="ListBullet"/>
      </w:pPr>
      <w:r>
        <w:t>[6] Insee, Les inégalités économiques entre ménages selon le groupe socioprofessionnel (2023). https://www.insee.fr/fr/statistiques/7666903</w:t>
      </w:r>
    </w:p>
    <w:p>
      <w:pPr>
        <w:pStyle w:val="ListBullet"/>
      </w:pPr>
      <w:r>
        <w:t>[13] Insee, L'essentiel sur les salaires (janvier 2026). https://insee.fr/fr/statistiques/7457170</w:t>
      </w:r>
    </w:p>
    <w:p>
      <w:pPr>
        <w:pStyle w:val="ListBullet"/>
      </w:pPr>
      <w:r>
        <w:t>[15] Apec, baromètre de la rémunération des cadres 2025, via ABC Bourse (novembre 2025).</w:t>
      </w:r>
    </w:p>
    <w:p>
      <w:pPr>
        <w:pStyle w:val="ListBullet"/>
      </w:pPr>
      <w:r>
        <w:t>[19] OpinionWay pour l'Unaf, Observatoire des familles, conciliation (2022).</w:t>
      </w:r>
    </w:p>
    <w:p>
      <w:pPr>
        <w:pStyle w:val="ListBullet"/>
      </w:pPr>
      <w:r>
        <w:t>[20] Apec, Santé mentale chez les cadres et les managers (octobre 2025).</w:t>
      </w:r>
    </w:p>
    <w:p>
      <w:pPr>
        <w:pStyle w:val="ListBullet"/>
      </w:pPr>
      <w:r>
        <w:t>[21] OpinionWay pour LG, via Journal du Geek (octobre 2026).</w:t>
      </w:r>
    </w:p>
    <w:p>
      <w:pPr>
        <w:pStyle w:val="ListBullet"/>
      </w:pPr>
      <w:r>
        <w:t>[22] Domaliance, via Breizh-info (septembre 2026).</w:t>
      </w:r>
    </w:p>
    <w:p>
      <w:pPr>
        <w:pStyle w:val="ListBullet"/>
      </w:pPr>
      <w:r>
        <w:t>[23] Ifop pour Converteo, Les Français et l'IA agentique, via CB News (avril 2026). https://www.cbnews.fr/etudes/les-francais-seduits-gain-temps-promis-ia-encore-mefiants</w:t>
      </w:r>
    </w:p>
    <w:p>
      <w:pPr>
        <w:pStyle w:val="ListBullet"/>
      </w:pPr>
      <w:r>
        <w:t>[24] Arcep, Baromètre du numérique 2026 (février 2026). https://www.arcep.fr/actualites/actualites-et-communiques/detail/n/equipements-et-usages-du-numerique-090226.html</w:t>
      </w:r>
    </w:p>
    <w:p>
      <w:pPr>
        <w:pStyle w:val="ListBullet"/>
      </w:pPr>
      <w:r>
        <w:t>[26] à [53] Pages tarifaires et centres d'aide d'OpenAI, Google, Anthropic, Microsoft, Apple, Mistral, Meta, et presse spécialisée (octobre 2026).</w:t>
      </w:r>
    </w:p>
    <w:p>
      <w:pPr>
        <w:pStyle w:val="ListBullet"/>
      </w:pPr>
      <w:r>
        <w:t>[57] Toyo Keizai, fermeture de Yohana et dissolution de Panasonic Well (février 2026). https://toyokeizai.net/articles/-/934705</w:t>
      </w:r>
    </w:p>
    <w:p>
      <w:pPr>
        <w:pStyle w:val="ListBullet"/>
      </w:pPr>
      <w:r>
        <w:t>[73] Xerfi, Les marchés de la conciergerie, SME68 (juin 2025). https://www.xerfi.com/presentationetude/les-marches-de-la-conciergerie_SME68</w:t>
      </w:r>
    </w:p>
    <w:p>
      <w:pPr>
        <w:pStyle w:val="ListBullet"/>
      </w:pPr>
      <w:r>
        <w:t>[76], [77], [78], [79] Grilles de prix des conciergeries d'entreprise et privées (sources de fiabilité moyenne à faible, signalées).</w:t>
      </w:r>
    </w:p>
    <w:p>
      <w:pPr>
        <w:pStyle w:val="ListBullet"/>
      </w:pPr>
      <w:r>
        <w:t>[88] à [96] RevenueCat, State of Subscription Apps 2026 ; Recurly ; ProfitWell ; Adapty ; Semnexus (benchmarks de rétention, conversion et CAC).</w:t>
      </w:r>
    </w:p>
    <w:p>
      <w:pPr>
        <w:pStyle w:val="ListBullet"/>
      </w:pPr>
      <w:r>
        <w:t>[97], [99], [40], [48] Grilles de prix des API OpenAI, Google, Anthropic, Mistral (octobre 2026).</w:t>
      </w:r>
    </w:p>
    <w:p>
      <w:pPr>
        <w:pStyle w:val="ListBullet"/>
      </w:pPr>
      <w:r>
        <w:t>[101] à [103] Coût par tâche agentique (HAL tau-bench, benchmarkingagents.com).</w:t>
      </w:r>
    </w:p>
    <w:p>
      <w:pPr>
        <w:pStyle w:val="ListBullet"/>
      </w:pPr>
      <w:r>
        <w:t>[104], [105], [106] Revues de presse d'usages réels (Futura, Ulysse, Tom's Guide).</w:t>
      </w:r>
    </w:p>
    <w:p>
      <w:pPr>
        <w:pStyle w:val="ListBullet"/>
      </w:pPr>
      <w:r>
        <w:t>[109] à [119] Règlement (UE) 2024/1689 et omnibus (Cooley, Gibson Dunn) ; note CNIL et CIANum sur l'IA agentique (juillet 2026) ; conditions des API Google et des magasins Apple et Google Play.</w:t>
      </w: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8A8178"/>
        <w:sz w:val="16"/>
      </w:rPr>
      <w:t xml:space="preserve">Page </w:t>
    </w:r>
    <w:fldSimple w:instr="PAGE">
      <w:r>
        <w:t>1</w:t>
      </w:r>
    </w:fldSimple>
  </w:p>
  <w:p>
    <w:r>
      <w:rPr>
        <w:color w:val="8A8178"/>
        <w:sz w:val="15"/>
      </w:rPr>
      <w:t>HEC GEMM Group 4  ·  Document de travail, hypothèses à valider  ·  Ne pas diffuser hors 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8178"/>
        <w:sz w:val="16"/>
      </w:rPr>
      <w:t>Helium  ·  Helium, analyse de marché et intelligence concurrentielle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01C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eastAsia="Georgia" w:cs="Georgia"/>
      <w:b w:val="0"/>
      <w:bCs/>
      <w:color w:val="201C1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201C19"/>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D973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