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drawing>
          <wp:inline xmlns:a="http://schemas.openxmlformats.org/drawingml/2006/main" xmlns:pic="http://schemas.openxmlformats.org/drawingml/2006/picture">
            <wp:extent cx="2340000" cy="811778"/>
            <wp:docPr id="1" name="Picture 1"/>
            <wp:cNvGraphicFramePr>
              <a:graphicFrameLocks noChangeAspect="1"/>
            </wp:cNvGraphicFramePr>
            <a:graphic>
              <a:graphicData uri="http://schemas.openxmlformats.org/drawingml/2006/picture">
                <pic:pic>
                  <pic:nvPicPr>
                    <pic:cNvPr id="0" name="wordmark_ink.png"/>
                    <pic:cNvPicPr/>
                  </pic:nvPicPr>
                  <pic:blipFill>
                    <a:blip r:embed="rId11"/>
                    <a:stretch>
                      <a:fillRect/>
                    </a:stretch>
                  </pic:blipFill>
                  <pic:spPr>
                    <a:xfrm>
                      <a:off x="0" y="0"/>
                      <a:ext cx="2340000" cy="811778"/>
                    </a:xfrm>
                    <a:prstGeom prst="rect"/>
                  </pic:spPr>
                </pic:pic>
              </a:graphicData>
            </a:graphic>
          </wp:inline>
        </w:drawing>
      </w:r>
    </w:p>
    <w:p>
      <w:pPr>
        <w:spacing w:before="1400"/>
        <w:pBdr>
          <w:bottom w:val="single" w:sz="18" w:space="4" w:color="F0916A"/>
        </w:pBdr>
      </w:pPr>
      <w:r>
        <w:rPr>
          <w:rFonts w:ascii="Georgia" w:hAnsi="Georgia"/>
          <w:color w:val="201C19"/>
          <w:sz w:val="60"/>
        </w:rPr>
        <w:t>Helium, réponse au cadrage Produit et Technique</w:t>
      </w:r>
    </w:p>
    <w:p>
      <w:pPr>
        <w:spacing w:before="200"/>
      </w:pPr>
      <w:r>
        <w:rPr>
          <w:rFonts w:ascii="Georgia" w:hAnsi="Georgia"/>
          <w:color w:val="8A8178"/>
          <w:sz w:val="30"/>
        </w:rPr>
        <w:t>Architecture Lean, coût par mission, plan de développement et budget MVP, en réponse à la demande de la direction financière du 27 octobre 2026</w:t>
      </w:r>
    </w:p>
    <w:p>
      <w:pPr>
        <w:spacing w:before="2400"/>
      </w:pPr>
    </w:p>
    <w:p>
      <w:pPr>
        <w:spacing w:after="40"/>
      </w:pPr>
      <w:r>
        <w:rPr>
          <w:color w:val="8A8178"/>
          <w:sz w:val="18"/>
        </w:rPr>
        <w:t xml:space="preserve">Préparé par  </w:t>
      </w:r>
      <w:r>
        <w:rPr>
          <w:color w:val="201C19"/>
          <w:sz w:val="20"/>
        </w:rPr>
        <w:t>Assistant IA Direction, à la demande du CEO (Malik), pour la partie Opérations et Technique de la demande</w:t>
      </w:r>
    </w:p>
    <w:p>
      <w:pPr>
        <w:spacing w:after="40"/>
      </w:pPr>
      <w:r>
        <w:rPr>
          <w:color w:val="8A8178"/>
          <w:sz w:val="18"/>
        </w:rPr>
        <w:t xml:space="preserve">Pour  </w:t>
      </w:r>
      <w:r>
        <w:rPr>
          <w:color w:val="201C19"/>
          <w:sz w:val="20"/>
        </w:rPr>
        <w:t>Sébastien (Finance) ; en copie Alice, Steve, Isaac, Tiffany</w:t>
      </w:r>
    </w:p>
    <w:p>
      <w:pPr>
        <w:spacing w:after="40"/>
      </w:pPr>
      <w:r>
        <w:rPr>
          <w:color w:val="8A8178"/>
          <w:sz w:val="18"/>
        </w:rPr>
        <w:t xml:space="preserve">Date  </w:t>
      </w:r>
      <w:r>
        <w:rPr>
          <w:color w:val="201C19"/>
          <w:sz w:val="20"/>
        </w:rPr>
        <w:t>28 octobre 2026</w:t>
      </w:r>
    </w:p>
    <w:p>
      <w:pPr>
        <w:spacing w:after="40"/>
      </w:pPr>
      <w:r>
        <w:rPr>
          <w:color w:val="8A8178"/>
          <w:sz w:val="18"/>
        </w:rPr>
        <w:t xml:space="preserve">Statut  </w:t>
      </w:r>
      <w:r>
        <w:rPr>
          <w:color w:val="201C19"/>
          <w:sz w:val="20"/>
        </w:rPr>
        <w:t>Proposition. Aucun chiffre n'est mesuré ; les prix unitaires sont sourcés (annexe A), les volumes, taux de réussite et jours sont des hypothèses d'ingénierie à remplacer par les mesures du pilote. Rien n'est acté tant que ce n'est pas au registre des décisions</w:t>
      </w:r>
    </w:p>
    <w:p>
      <w:pPr>
        <w:spacing w:after="40"/>
      </w:pPr>
      <w:r>
        <w:rPr>
          <w:color w:val="8A8178"/>
          <w:sz w:val="18"/>
        </w:rPr>
        <w:t xml:space="preserve">Version  </w:t>
      </w:r>
      <w:r>
        <w:rPr>
          <w:color w:val="201C19"/>
          <w:sz w:val="20"/>
        </w:rPr>
        <w:t>1.0</w:t>
      </w:r>
    </w:p>
    <w:p>
      <w:r>
        <w:br w:type="page"/>
      </w:r>
    </w:p>
    <w:p>
      <w:pPr>
        <w:pStyle w:val="Heading1"/>
        <w:pBdr>
          <w:bottom w:val="single" w:sz="10" w:space="4" w:color="F0916A"/>
        </w:pBdr>
      </w:pPr>
      <w:r>
        <w:t>Réponse en bref</w:t>
      </w:r>
    </w:p>
    <w:p>
      <w:r>
        <w:t xml:space="preserve">Sébastien demande quatre choses à la partie Technique : une architecture Lean avec ses alternatives, le coût de chaque mission, un plan de développement chiffré, et les arbitrages à valider. Ce document les donne dans cet ordre, avec le classeur </w:t>
      </w:r>
      <w:r>
        <w:rPr>
          <w:rFonts w:ascii="Consolas" w:hAnsi="Consolas" w:eastAsia="Consolas"/>
        </w:rPr>
        <w:t>Helium_Cout_par_mission_V1.xlsx</w:t>
      </w:r>
      <w:r>
        <w:t xml:space="preserve"> qui porte les formules. La partie Produit (dix missions, parcours, critères de réussite) a été traitée le 27 octobre par la contribution marketing au cadrage ; ce document la reprend telle quelle et n'y ajoute que la faisabilité technique et le coût.</w:t>
      </w:r>
    </w:p>
    <w:p>
      <w:r>
        <w:rPr>
          <w:b/>
        </w:rPr>
        <w:t>Ce que dit le chiffrage.</w:t>
      </w:r>
      <w:r>
        <w:t xml:space="preserve"> Aux prix publics d'octobre 2026 et avec les volumes d'ingénierie du classeur, un abonné Premium coûte 4,16 € par mois en modèles, outils et support pour 57 missions visibles, soit 0,073 € par mission (estimation). Avec l'hébergement (1,50 €) et les frais de paiement (2,38 €), le coût variable est de 8,05 € HT, contre 18 € dans l'hypothèse Finance H03 et 15,30 € dans le scénario central du modèle 36 mois. Les trois missions de réservation (rendez-vous, restaurant, événement) pèsent 61 % de ce coût : à 1,00 € et 0,68 € l'exécution, elles coûtent 31 à 45 fois une mission de lecture (0,022 € pour le briefing). Le scénario le plus défavorable du classeur (modèles et outils deux fois plus chers, reprises +50 %, support × 3) monte à 16,38 € de coût variable ; des réservations trois fois plus fréquentes et deux fois plus chères, à 20,65 €. Conclusion : 18 € est une hypothèse prudente qu'il faut garder jusqu'aux mesures, pas une hypothèse à défendre comme coût attendu ; le modèle 36 mois peut conserver 0,18 € par mission en central et 0,30 € en prudent, qui couvrent deux à quatre fois l'estimation. Ce qui n'est pas couvert par cette marge, c'est l'inconnue de fiabilité : un taux de réussite des réservations sous 50 % ne coûte pas plus cher en jetons, il coûte des abonnés.</w:t>
      </w:r>
    </w:p>
    <w:p>
      <w:r>
        <w:rPr>
          <w:b/>
        </w:rPr>
        <w:t>Ce que dit le plan.</w:t>
      </w:r>
      <w:r>
        <w:t xml:space="preserve"> Le MVP tel que spécifié demande environ 128 jours de prestation externe (développement, conception, sécurité, RGPD) et 56 jours des fondateurs, pour un budget de 126 788 € HT en variante Lean (un développeur senior externe, fondateurs à la manœuvre) et 152 720 € en variante Confort (deux développeurs, calendrier raccourci de six semaines). Le Business plan Lean V1 prévoit 77 050 € : sa ligne de développement (36 000 €) achète environ 55 jours au taux du marché, soit la moitié du MVP. Trois façons de fermer l'écart, détaillées au § 6.3 : relever l'enveloppe à 100 000 € (le scénario prudent du modèle 36 mois le fait déjà), sortir le navigateur piloté de la prestation externe en passant par des API partenaires pour les réservations, ou financer une partie par la Bourse French Tech et le statut JEI. Le chemin critique n'est pas le développement : c'est la vérification OAuth de Google (périmètres Gmail restreints), quatre à huit semaines après dépôt d'un dossier qui exige un domaine, une politique de confidentialité publiée et une vidéo de démonstration, et dont dépend tout usage au-delà de 100 comptes de test.</w:t>
      </w:r>
    </w:p>
    <w:p>
      <w:r>
        <w:rPr>
          <w:b/>
        </w:rPr>
        <w:t>Les arbitrages recommandés</w:t>
      </w:r>
      <w:r>
        <w:t>, à valider par l'équipe puis à inscrire au registre :</w:t>
      </w:r>
    </w:p>
    <w:tbl>
      <w:tblPr>
        <w:tblW w:type="auto" w:w="0"/>
        <w:jc w:val="center"/>
        <w:tblLayout w:type="fixed"/>
        <w:tblLook w:firstColumn="1" w:firstRow="1" w:lastColumn="0" w:lastRow="0" w:noHBand="0" w:noVBand="1" w:val="04A0"/>
      </w:tblPr>
      <w:tblGrid>
        <w:gridCol w:w="810"/>
        <w:gridCol w:w="1453"/>
        <w:gridCol w:w="5888"/>
        <w:gridCol w:w="1261"/>
      </w:tblGrid>
      <w:tr>
        <w:tc>
          <w:tcPr>
            <w:tcW w:type="dxa" w:w="81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w:t>
            </w:r>
          </w:p>
        </w:tc>
        <w:tc>
          <w:tcPr>
            <w:tcW w:type="dxa" w:w="145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Arbitrage</w:t>
            </w:r>
          </w:p>
        </w:tc>
        <w:tc>
          <w:tcPr>
            <w:tcW w:type="dxa" w:w="588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Recommandation</w:t>
            </w:r>
          </w:p>
        </w:tc>
        <w:tc>
          <w:tcPr>
            <w:tcW w:type="dxa" w:w="126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Qui décide</w:t>
            </w:r>
          </w:p>
        </w:tc>
      </w:tr>
      <w:tr>
        <w:tc>
          <w:tcPr>
            <w:tcW w:type="dxa" w:w="81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A1</w:t>
            </w:r>
          </w:p>
        </w:tc>
        <w:tc>
          <w:tcPr>
            <w:tcW w:type="dxa" w:w="14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Périmètre du MVP</w:t>
            </w:r>
          </w:p>
        </w:tc>
        <w:tc>
          <w:tcPr>
            <w:tcW w:type="dxa" w:w="588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Les dix missions de la contribution marketing, avec deux restrictions techniques : la mission 5 (déplacement) prépare sans réserver, la mission 10 (événement) n'entre que si les missions 3 et 4 tiennent leurs mesures au pilote. Aucun paiement, aucun appel téléphonique, aucune démarche officielle</w:t>
            </w:r>
          </w:p>
        </w:tc>
        <w:tc>
          <w:tcPr>
            <w:tcW w:type="dxa" w:w="12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Steve (Produit), avec Alice</w:t>
            </w:r>
          </w:p>
        </w:tc>
      </w:tr>
      <w:tr>
        <w:tc>
          <w:tcPr>
            <w:tcW w:type="dxa" w:w="81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A2</w:t>
            </w:r>
          </w:p>
        </w:tc>
        <w:tc>
          <w:tcPr>
            <w:tcW w:type="dxa" w:w="14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Fournisseurs de modèles et routage</w:t>
            </w:r>
          </w:p>
        </w:tc>
        <w:tc>
          <w:tcPr>
            <w:tcW w:type="dxa" w:w="588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Trois paliers (petit, moyen, frontière) derrière une passerelle unique ; petit palier Mistral Small 4 sur le point d'accès européen pour tout ce qui lit les courriels (données les plus sensibles, fournisseur français), palier moyen Claude Sonnet 5.5 via Amazon Bedrock en profil d'inférence UE pour la planification et les outils (meilleurs scores publics d'agents), palier frontière Claude Opus 5.5 pour l'escalade, plafonnée à 10 % ; second fournisseur configuré à chaque palier (Claude Haiku 5.5, Mistral Large 4, gpt-6.1-sol en résidence UE) et bascule testée chaque mois</w:t>
            </w:r>
          </w:p>
        </w:tc>
        <w:tc>
          <w:tcPr>
            <w:tcW w:type="dxa" w:w="12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Malik (Technique)</w:t>
            </w:r>
          </w:p>
        </w:tc>
      </w:tr>
      <w:tr>
        <w:tc>
          <w:tcPr>
            <w:tcW w:type="dxa" w:w="81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A3</w:t>
            </w:r>
          </w:p>
        </w:tc>
        <w:tc>
          <w:tcPr>
            <w:tcW w:type="dxa" w:w="14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Hébergement</w:t>
            </w:r>
          </w:p>
        </w:tc>
        <w:tc>
          <w:tcPr>
            <w:tcW w:type="dxa" w:w="588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Scaleway, région Paris, pour l'application et les données ; modèles appelés par API avec résidence des données dans l'Union ; alternatives OVHcloud et, si la vitesse prime sur la promesse « hébergement européen », Supabase à Francfort</w:t>
            </w:r>
          </w:p>
        </w:tc>
        <w:tc>
          <w:tcPr>
            <w:tcW w:type="dxa" w:w="12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Malik, avec Tiffany pour la conformité</w:t>
            </w:r>
          </w:p>
        </w:tc>
      </w:tr>
      <w:tr>
        <w:tc>
          <w:tcPr>
            <w:tcW w:type="dxa" w:w="81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A4</w:t>
            </w:r>
          </w:p>
        </w:tc>
        <w:tc>
          <w:tcPr>
            <w:tcW w:type="dxa" w:w="14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Politique de validation</w:t>
            </w:r>
          </w:p>
        </w:tc>
        <w:tc>
          <w:tcPr>
            <w:tcW w:type="dxa" w:w="588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 C, X de la contribution marketing, appliquée par un moteur de politique : chaque action visible par un tiers exige un mandat validé dans l'application, limité à une action, expirant à 24 heures, journalisé. Le contenu des courriels est traité comme une donnée non fiable et ne peut jamais déclencher d'action</w:t>
            </w:r>
          </w:p>
        </w:tc>
        <w:tc>
          <w:tcPr>
            <w:tcW w:type="dxa" w:w="12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Steve et Tiffany</w:t>
            </w:r>
          </w:p>
        </w:tc>
      </w:tr>
      <w:tr>
        <w:tc>
          <w:tcPr>
            <w:tcW w:type="dxa" w:w="81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A5</w:t>
            </w:r>
          </w:p>
        </w:tc>
        <w:tc>
          <w:tcPr>
            <w:tcW w:type="dxa" w:w="14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Limites d'utilisation et protections</w:t>
            </w:r>
          </w:p>
        </w:tc>
        <w:tc>
          <w:tcPr>
            <w:tcW w:type="dxa" w:w="588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Plafonds par offre (missions, minutes de navigateur piloté), budget de jetons par mission, escalade frontière plafonnée à 10 %, alerte à 25 % du prix HT, coupe-circuit journalier</w:t>
            </w:r>
          </w:p>
        </w:tc>
        <w:tc>
          <w:tcPr>
            <w:tcW w:type="dxa" w:w="12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Malik et Sébastien</w:t>
            </w:r>
          </w:p>
        </w:tc>
      </w:tr>
      <w:tr>
        <w:tc>
          <w:tcPr>
            <w:tcW w:type="dxa" w:w="81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A6</w:t>
            </w:r>
          </w:p>
        </w:tc>
        <w:tc>
          <w:tcPr>
            <w:tcW w:type="dxa" w:w="14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Calendrier</w:t>
            </w:r>
          </w:p>
        </w:tc>
        <w:tc>
          <w:tcPr>
            <w:tcW w:type="dxa" w:w="588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Prototype des missions 1 et 5 avant le 3 décembre ; missions 3 et 4 avant le 19 décembre ; 10 pilotes payants de janvier ; go ou stop le 1er février ; en cas de go, MVP ouvert à M7 (mai 2027)</w:t>
            </w:r>
          </w:p>
        </w:tc>
        <w:tc>
          <w:tcPr>
            <w:tcW w:type="dxa" w:w="12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 Board, par D-04 et D-05</w:t>
            </w:r>
          </w:p>
        </w:tc>
      </w:tr>
      <w:tr>
        <w:tc>
          <w:tcPr>
            <w:tcW w:type="dxa" w:w="81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A7</w:t>
            </w:r>
          </w:p>
        </w:tc>
        <w:tc>
          <w:tcPr>
            <w:tcW w:type="dxa" w:w="14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Enveloppe budgétaire</w:t>
            </w:r>
          </w:p>
        </w:tc>
        <w:tc>
          <w:tcPr>
            <w:tcW w:type="dxa" w:w="588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Variante Lean à 126 788 € HT (93 500 € de prestations, 16 750 € d'autres coûts, 15 % d'imprévus) ; l'écart de 49 738 € avec le Business plan Lean V1 se traite par l'une des trois options du § 6.3, à choisir avant de demander les devis</w:t>
            </w:r>
          </w:p>
        </w:tc>
        <w:tc>
          <w:tcPr>
            <w:tcW w:type="dxa" w:w="12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Sébastien et le Board</w:t>
            </w:r>
          </w:p>
        </w:tc>
      </w:tr>
      <w:tr>
        <w:tc>
          <w:tcPr>
            <w:tcW w:type="dxa" w:w="81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A8</w:t>
            </w:r>
          </w:p>
        </w:tc>
        <w:tc>
          <w:tcPr>
            <w:tcW w:type="dxa" w:w="14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Dépendances externes à lancer sans attendre</w:t>
            </w:r>
          </w:p>
        </w:tc>
        <w:tc>
          <w:tcPr>
            <w:tcW w:type="dxa" w:w="588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Nom de domaine et marque (D-02), politique de confidentialité publiée, dossier de vérification OAuth Google déposé en janvier, AIPD avant le premier pilote</w:t>
            </w:r>
          </w:p>
        </w:tc>
        <w:tc>
          <w:tcPr>
            <w:tcW w:type="dxa" w:w="12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Malik, Tiffany, Alice</w:t>
            </w:r>
          </w:p>
        </w:tc>
      </w:tr>
    </w:tbl>
    <w:p>
      <w:pPr>
        <w:spacing w:after="40"/>
      </w:pPr>
    </w:p>
    <w:p>
      <w:r>
        <w:rPr>
          <w:b/>
        </w:rPr>
        <w:t>Ce qui changerait la réponse.</w:t>
      </w:r>
      <w:r>
        <w:t xml:space="preserve"> Un coût mesuré par mission à navigateur piloté supérieur à 3 € ou un taux de réussite inférieur à 50 % sur les missions 3 et 4 : les réservations sortent du MVP et Helium devient un majordome qui prépare et rappelle, à un prix qu'il faut retester. Un refus ou un délai de plus de dix semaines sur la vérification OAuth Google : le lancement glisse d'autant, et le pilote se fait en mode « test interne » (jusqu'à 100 utilisateurs non vérifiés, ce que Google autorise).</w:t>
      </w:r>
    </w:p>
    <w:p>
      <w:r>
        <w:rPr>
          <w:b/>
        </w:rPr>
        <w:t>Le délai de sept jours ouvrés.</w:t>
      </w:r>
      <w:r>
        <w:t xml:space="preserve"> Tenable pour ce document et le classeur, livrés ici. Pas tenable pour des mesures : les jetons réels, les reprises et les taux de réussite viennent du prototype des missions 1 et 5, soit le 3 décembre au plus tôt. Finance peut construire le budget avec les estimations ci-dessous, étiquetées comme telles, et les remplacer en décembre.</w:t>
      </w:r>
    </w:p>
    <w:p>
      <w:r>
        <w:br w:type="page"/>
      </w:r>
    </w:p>
    <w:p>
      <w:pPr>
        <w:pStyle w:val="Heading1"/>
        <w:pBdr>
          <w:bottom w:val="single" w:sz="10" w:space="4" w:color="F0916A"/>
        </w:pBdr>
      </w:pPr>
      <w:r>
        <w:t>1. Objet, périmètre et méthode</w:t>
      </w:r>
    </w:p>
    <w:p>
      <w:r>
        <w:t>La demande de cadrage (</w:t>
      </w:r>
      <w:r>
        <w:rPr>
          <w:rFonts w:ascii="Consolas" w:hAnsi="Consolas" w:eastAsia="Consolas"/>
        </w:rPr>
        <w:t>2 FINANCE/PREVISIONS/2026 1027 Demande de cadrage Produit Technique.md</w:t>
      </w:r>
      <w:r>
        <w:t>) attend cinq réponses. Les réponses 1 (missions) et 3 (autonomie et sécurité) ont été apportées par la contribution marketing au cadrage MVP (</w:t>
      </w:r>
      <w:r>
        <w:rPr>
          <w:rFonts w:ascii="Consolas" w:hAnsi="Consolas" w:eastAsia="Consolas"/>
        </w:rPr>
        <w:t>5 PRODUIT/</w:t>
      </w:r>
      <w:r>
        <w:t>, 27 octobre) sous l'angle de la valeur utilisateur ; elles sont reprises au § 2 et au § 4 avec leur traduction technique. Les réponses 2 (architecture), 4 (mesure des coûts) et 5 (plan de développement) sont l'objet des § 3, 5 et 6. Le tableau commun demandé est au § 8.</w:t>
      </w:r>
    </w:p>
    <w:p>
      <w:r>
        <w:t>Méthode. Chaque mission est décomposée en appels de modèles (par palier), appels d'outils, minutes de navigateur piloté, reprises et support humain espéré ; les prix unitaires sont ceux des pages publiques des fournisseurs relevées le 27 et 28 octobre 2026 (annexe A) ; les volumes sont des hypothèses d'ingénierie, écrites en bleu dans le classeur pour être remplacées une à une par les mesures. Les taux de réussite sont bornés par les benchmarks publics d'agents (annexe A, § A.2) et resteront « non mesurés » jusqu'au pilote. Les jours de développement sont estimés par chantier et valorisés aux taux journaliers du marché français 2026 (annexe A, § A.3).</w:t>
      </w:r>
    </w:p>
    <w:p>
      <w:r>
        <w:t>Ce que ce document n'est pas : un devis. Les devis (développeur, pentest, AIPD, CASA) sont à obtenir une fois D-01 décidé, parce qu'aucun prestataire ne contracte avec un projet dont la personne morale n'existe pas.</w:t>
      </w:r>
    </w:p>
    <w:p>
      <w:r>
        <w:br w:type="page"/>
      </w:r>
    </w:p>
    <w:p>
      <w:pPr>
        <w:pStyle w:val="Heading1"/>
        <w:pBdr>
          <w:bottom w:val="single" w:sz="10" w:space="4" w:color="F0916A"/>
        </w:pBdr>
      </w:pPr>
      <w:r>
        <w:t>2. Périmètre du MVP : dix missions, et ce que la technique y change</w:t>
      </w:r>
    </w:p>
    <w:p>
      <w:r>
        <w:t>La liste des dix missions, les niveaux de validation A, C, X et les parcours P1 à P4 de la contribution marketing sont adoptés tels quels. La lecture technique ajoute trois choses : un socle invisible, un coût d'activation, et deux restrictions.</w:t>
      </w:r>
    </w:p>
    <w:p>
      <w:r>
        <w:rPr>
          <w:b/>
        </w:rPr>
        <w:t>Le socle (M0).</w:t>
      </w:r>
      <w:r>
        <w:t xml:space="preserve"> Quatre missions sur dix (briefing, échéances, abonnements, relances) ne demandent rien à l'utilisateur : elles reposent sur une lecture nocturne des courriels, de l'agenda et des documents, qui classe, résume et extrait des entités (échéances, engagements, abonnements, attentes) dans la mémoire. Ce socle est une mission à part entière dans le chiffrage parce qu'il tourne chaque nuit pour chaque abonné, et parce que c'est lui qui porte le risque d'injection de prompt par un courriel. Il ne peut rien faire d'autre que lire et écrire en mémoire.</w:t>
      </w:r>
    </w:p>
    <w:p>
      <w:r>
        <w:rPr>
          <w:b/>
        </w:rPr>
        <w:t>L'activation (M11).</w:t>
      </w:r>
      <w:r>
        <w:t xml:space="preserve"> À l'inscription, le majordome lit les douze derniers mois de courriels pour dresser l'inventaire des abonnements, repérer les échéances et les personnes du foyer, et proposer un profil de préférences que l'utilisateur confirme. C'est la plus grosse lecture de la vie d'un abonné (estimation : 400 000 jetons) ; elle se traite en tarif lot et se compte dans le coût d'acquisition, pas dans le coût mensuel. Elle impose un filtrage des données particulières incidentes (santé, opinions, religion, syndicat) qui ne doivent pas être conservées, point déjà relevé dans la revue juridique.</w:t>
      </w:r>
    </w:p>
    <w:p>
      <w:r>
        <w:rPr>
          <w:b/>
        </w:rPr>
        <w:t>Les deux restrictions.</w:t>
      </w:r>
      <w:r>
        <w:t xml:space="preserve"> La mission 5 (déplacement) prépare un programme chiffré à deux ou trois options et s'arrête là : réserver un transport ou un hébergement ferait entrer Helium dans le Code du tourisme (revue juridique, § 4) et tripler le coût de la mission. La mission 10 (événement) réutilise la réservation de restaurant ; elle n'entre dans le MVP que si les missions 3 et 4 tiennent leurs seuils au pilote, sinon elle est reportée.</w:t>
      </w:r>
    </w:p>
    <w:tbl>
      <w:tblPr>
        <w:tblW w:type="auto" w:w="0"/>
        <w:jc w:val="center"/>
        <w:tblLayout w:type="fixed"/>
        <w:tblLook w:firstColumn="1" w:firstRow="1" w:lastColumn="0" w:lastRow="0" w:noHBand="0" w:noVBand="1" w:val="04A0"/>
      </w:tblPr>
      <w:tblGrid>
        <w:gridCol w:w="1575"/>
        <w:gridCol w:w="1676"/>
        <w:gridCol w:w="3417"/>
        <w:gridCol w:w="2745"/>
      </w:tblGrid>
      <w:tr>
        <w:tc>
          <w:tcPr>
            <w:tcW w:type="dxa" w:w="157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Mission</w:t>
            </w:r>
          </w:p>
        </w:tc>
        <w:tc>
          <w:tcPr>
            <w:tcW w:type="dxa" w:w="167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Faisabilité technique</w:t>
            </w:r>
          </w:p>
        </w:tc>
        <w:tc>
          <w:tcPr>
            <w:tcW w:type="dxa" w:w="341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Comment elle s'exécute</w:t>
            </w:r>
          </w:p>
        </w:tc>
        <w:tc>
          <w:tcPr>
            <w:tcW w:type="dxa" w:w="274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Dépendance externe</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M0 Socle</w:t>
            </w:r>
          </w:p>
        </w:tc>
        <w:tc>
          <w:tcPr>
            <w:tcW w:type="dxa" w:w="167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Acquise</w:t>
            </w:r>
          </w:p>
        </w:tc>
        <w:tc>
          <w:tcPr>
            <w:tcW w:type="dxa" w:w="34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API Gmail, Agenda, Drive en lecture ; petit modèle</w:t>
            </w:r>
          </w:p>
        </w:tc>
        <w:tc>
          <w:tcPr>
            <w:tcW w:type="dxa" w:w="274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Vérification OAuth Google (périmètres restreints)</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M1 Briefing</w:t>
            </w:r>
          </w:p>
        </w:tc>
        <w:tc>
          <w:tcPr>
            <w:tcW w:type="dxa" w:w="167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Acquise</w:t>
            </w:r>
          </w:p>
        </w:tc>
        <w:tc>
          <w:tcPr>
            <w:tcW w:type="dxa" w:w="34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Modèle moyen sur les résumés du socle</w:t>
            </w:r>
          </w:p>
        </w:tc>
        <w:tc>
          <w:tcPr>
            <w:tcW w:type="dxa" w:w="274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Aucune</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M2 Échéances</w:t>
            </w:r>
          </w:p>
        </w:tc>
        <w:tc>
          <w:tcPr>
            <w:tcW w:type="dxa" w:w="167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Acquise</w:t>
            </w:r>
          </w:p>
        </w:tc>
        <w:tc>
          <w:tcPr>
            <w:tcW w:type="dxa" w:w="34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Extraction puis rappels ; aucune démarche</w:t>
            </w:r>
          </w:p>
        </w:tc>
        <w:tc>
          <w:tcPr>
            <w:tcW w:type="dxa" w:w="274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Aucune</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M3 Rendez-vous de service</w:t>
            </w:r>
          </w:p>
        </w:tc>
        <w:tc>
          <w:tcPr>
            <w:tcW w:type="dxa" w:w="167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Incertaine</w:t>
            </w:r>
          </w:p>
        </w:tc>
        <w:tc>
          <w:tcPr>
            <w:tcW w:type="dxa" w:w="34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Places pour trouver, navigateur piloté pour réserver</w:t>
            </w:r>
          </w:p>
        </w:tc>
        <w:tc>
          <w:tcPr>
            <w:tcW w:type="dxa" w:w="274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Sites de réservation sans API, CAPTCHA, conditions d'utilisation</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M4 Restaurant</w:t>
            </w:r>
          </w:p>
        </w:tc>
        <w:tc>
          <w:tcPr>
            <w:tcW w:type="dxa" w:w="167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Incertaine</w:t>
            </w:r>
          </w:p>
        </w:tc>
        <w:tc>
          <w:tcPr>
            <w:tcW w:type="dxa" w:w="34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Idem M3 ; plateformes de réservation</w:t>
            </w:r>
          </w:p>
        </w:tc>
        <w:tc>
          <w:tcPr>
            <w:tcW w:type="dxa" w:w="274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Idem ; aucune API publique chez les grandes plateformes françaises (annexe A, § A.2)</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M5 Déplacement</w:t>
            </w:r>
          </w:p>
        </w:tc>
        <w:tc>
          <w:tcPr>
            <w:tcW w:type="dxa" w:w="167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Acquise sans réservation</w:t>
            </w:r>
          </w:p>
        </w:tc>
        <w:tc>
          <w:tcPr>
            <w:tcW w:type="dxa" w:w="34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Recherche, lecture de pages, synthèse</w:t>
            </w:r>
          </w:p>
        </w:tc>
        <w:tc>
          <w:tcPr>
            <w:tcW w:type="dxa" w:w="274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API de recherche</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M6 Brouillons</w:t>
            </w:r>
          </w:p>
        </w:tc>
        <w:tc>
          <w:tcPr>
            <w:tcW w:type="dxa" w:w="167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Acquise</w:t>
            </w:r>
          </w:p>
        </w:tc>
        <w:tc>
          <w:tcPr>
            <w:tcW w:type="dxa" w:w="34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Modèle moyen, envoi par l'API Gmail après validation</w:t>
            </w:r>
          </w:p>
        </w:tc>
        <w:tc>
          <w:tcPr>
            <w:tcW w:type="dxa" w:w="274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Périmètre gmail.send (restreint)</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M7 Agenda familial</w:t>
            </w:r>
          </w:p>
        </w:tc>
        <w:tc>
          <w:tcPr>
            <w:tcW w:type="dxa" w:w="167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Acquise</w:t>
            </w:r>
          </w:p>
        </w:tc>
        <w:tc>
          <w:tcPr>
            <w:tcW w:type="dxa" w:w="34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API Agenda, calendriers partagés</w:t>
            </w:r>
          </w:p>
        </w:tc>
        <w:tc>
          <w:tcPr>
            <w:tcW w:type="dxa" w:w="274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Consentement des tiers du foyer (juridique)</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M8 Abonnements</w:t>
            </w:r>
          </w:p>
        </w:tc>
        <w:tc>
          <w:tcPr>
            <w:tcW w:type="dxa" w:w="167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Acquise</w:t>
            </w:r>
          </w:p>
        </w:tc>
        <w:tc>
          <w:tcPr>
            <w:tcW w:type="dxa" w:w="34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Socle + modèle moyen ; aucune action bancaire</w:t>
            </w:r>
          </w:p>
        </w:tc>
        <w:tc>
          <w:tcPr>
            <w:tcW w:type="dxa" w:w="274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Aucune</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M9 Relances</w:t>
            </w:r>
          </w:p>
        </w:tc>
        <w:tc>
          <w:tcPr>
            <w:tcW w:type="dxa" w:w="167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Acquise</w:t>
            </w:r>
          </w:p>
        </w:tc>
        <w:tc>
          <w:tcPr>
            <w:tcW w:type="dxa" w:w="34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Socle + modèle moyen</w:t>
            </w:r>
          </w:p>
        </w:tc>
        <w:tc>
          <w:tcPr>
            <w:tcW w:type="dxa" w:w="274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Aucune</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M10 Événement</w:t>
            </w:r>
          </w:p>
        </w:tc>
        <w:tc>
          <w:tcPr>
            <w:tcW w:type="dxa" w:w="167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Conditionnelle</w:t>
            </w:r>
          </w:p>
        </w:tc>
        <w:tc>
          <w:tcPr>
            <w:tcW w:type="dxa" w:w="34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Réutilise M4</w:t>
            </w:r>
          </w:p>
        </w:tc>
        <w:tc>
          <w:tcPr>
            <w:tcW w:type="dxa" w:w="274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Idem M3 et M4</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M11 Activation</w:t>
            </w:r>
          </w:p>
        </w:tc>
        <w:tc>
          <w:tcPr>
            <w:tcW w:type="dxa" w:w="167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Acquise</w:t>
            </w:r>
          </w:p>
        </w:tc>
        <w:tc>
          <w:tcPr>
            <w:tcW w:type="dxa" w:w="34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Lecture en lot, filtrage des données particulières</w:t>
            </w:r>
          </w:p>
        </w:tc>
        <w:tc>
          <w:tcPr>
            <w:tcW w:type="dxa" w:w="274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AIPD avant le pilote</w:t>
            </w:r>
          </w:p>
        </w:tc>
      </w:tr>
    </w:tbl>
    <w:p>
      <w:pPr>
        <w:spacing w:after="40"/>
      </w:pPr>
    </w:p>
    <w:p>
      <w:r>
        <w:t>Indispensables et reportées : la liste de la contribution marketing (§ 2) tient. Une précision technique : « connecteurs Microsoft et Apple reportés » signifie que le MVP n'accepte que des comptes Google ; c'est une restriction de cible (environ un tiers des cadres sur Microsoft 365 selon les entretiens à venir, non établi) qu'il faut assumer dans le guide d'entretien.</w:t>
      </w:r>
    </w:p>
    <w:p>
      <w:r>
        <w:br w:type="page"/>
      </w:r>
    </w:p>
    <w:p>
      <w:pPr>
        <w:pStyle w:val="Heading1"/>
        <w:pBdr>
          <w:bottom w:val="single" w:sz="10" w:space="4" w:color="F0916A"/>
        </w:pBdr>
      </w:pPr>
      <w:r>
        <w:t>3. Architecture Lean</w:t>
      </w:r>
    </w:p>
    <w:p>
      <w:pPr>
        <w:jc w:val="left"/>
      </w:pPr>
      <w:r>
        <w:drawing>
          <wp:inline xmlns:a="http://schemas.openxmlformats.org/drawingml/2006/main" xmlns:pic="http://schemas.openxmlformats.org/drawingml/2006/picture">
            <wp:extent cx="5760000" cy="5184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000" cy="5184000"/>
                    </a:xfrm>
                    <a:prstGeom prst="rect"/>
                  </pic:spPr>
                </pic:pic>
              </a:graphicData>
            </a:graphic>
          </wp:inline>
        </w:drawing>
      </w:r>
    </w:p>
    <w:p>
      <w:r>
        <w:rPr>
          <w:color w:val="8A8178"/>
          <w:sz w:val="17"/>
        </w:rPr>
        <w:t>Architecture Helium</w:t>
      </w:r>
    </w:p>
    <w:p>
      <w:r>
        <w:t>Le principe : acheter tout ce qui n'est pas la promesse, construire la promesse. La promesse, c'est trois choses que personne ne vend sur étagère : le moteur de politique qui transforme la validation humaine en mandat technique, la mémoire du foyer séparée par sphères, et le journal opposable. Tout le reste (modèles, hébergement, connecteurs, facturation, support, observabilité) est loué.</w:t>
      </w:r>
    </w:p>
    <w:p>
      <w:pPr>
        <w:pStyle w:val="Heading2"/>
      </w:pPr>
      <w:r>
        <w:t>3.1 Les couches et ce qu'on y met</w:t>
      </w:r>
    </w:p>
    <w:tbl>
      <w:tblPr>
        <w:tblW w:type="auto" w:w="0"/>
        <w:jc w:val="center"/>
        <w:tblLayout w:type="fixed"/>
        <w:tblLook w:firstColumn="1" w:firstRow="1" w:lastColumn="0" w:lastRow="0" w:noHBand="0" w:noVBand="1" w:val="04A0"/>
      </w:tblPr>
      <w:tblGrid>
        <w:gridCol w:w="1463"/>
        <w:gridCol w:w="2659"/>
        <w:gridCol w:w="1723"/>
        <w:gridCol w:w="3567"/>
      </w:tblGrid>
      <w:tr>
        <w:tc>
          <w:tcPr>
            <w:tcW w:type="dxa" w:w="146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Couche</w:t>
            </w:r>
          </w:p>
        </w:tc>
        <w:tc>
          <w:tcPr>
            <w:tcW w:type="dxa" w:w="265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Choix recommandé</w:t>
            </w:r>
          </w:p>
        </w:tc>
        <w:tc>
          <w:tcPr>
            <w:tcW w:type="dxa" w:w="172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Rôle</w:t>
            </w:r>
          </w:p>
        </w:tc>
        <w:tc>
          <w:tcPr>
            <w:tcW w:type="dxa" w:w="356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Alternatives écartées et pourquoi</w:t>
            </w:r>
          </w:p>
        </w:tc>
      </w:tr>
      <w:tr>
        <w:tc>
          <w:tcPr>
            <w:tcW w:type="dxa" w:w="14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Client</w:t>
            </w:r>
          </w:p>
        </w:tc>
        <w:tc>
          <w:tcPr>
            <w:tcW w:type="dxa" w:w="26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Application web progressive (PWA), notifications push et courriel</w:t>
            </w:r>
          </w:p>
        </w:tc>
        <w:tc>
          <w:tcPr>
            <w:tcW w:type="dxa" w:w="17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Onboarding, briefing, écran de validation, journal</w:t>
            </w:r>
          </w:p>
        </w:tc>
        <w:tc>
          <w:tcPr>
            <w:tcW w:type="dxa" w:w="356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Applications natives iOS et Android : 6 à 8 semaines de plus, commissions des magasins, deux bases de code ; après le pilote</w:t>
            </w:r>
          </w:p>
        </w:tc>
      </w:tr>
      <w:tr>
        <w:tc>
          <w:tcPr>
            <w:tcW w:type="dxa" w:w="14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API et validation</w:t>
            </w:r>
          </w:p>
        </w:tc>
        <w:tc>
          <w:tcPr>
            <w:tcW w:type="dxa" w:w="26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Service Python (FastAPI) derrière un répartiteur de charge</w:t>
            </w:r>
          </w:p>
        </w:tc>
        <w:tc>
          <w:tcPr>
            <w:tcW w:type="dxa" w:w="17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Authentification, écran de validation, mandats</w:t>
            </w:r>
          </w:p>
        </w:tc>
        <w:tc>
          <w:tcPr>
            <w:tcW w:type="dxa" w:w="356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Node et TypeScript : équivalent ; Python retenu pour l'écosystème IA et le profil du développeur recherché</w:t>
            </w:r>
          </w:p>
        </w:tc>
      </w:tr>
      <w:tr>
        <w:tc>
          <w:tcPr>
            <w:tcW w:type="dxa" w:w="14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Moteur de politique</w:t>
            </w:r>
          </w:p>
        </w:tc>
        <w:tc>
          <w:tcPr>
            <w:tcW w:type="dxa" w:w="26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Composant maison, règles déclaratives par mission et par outil</w:t>
            </w:r>
          </w:p>
        </w:tc>
        <w:tc>
          <w:tcPr>
            <w:tcW w:type="dxa" w:w="17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 C, X ; mandats (une action, un périmètre, une expiration) ; refus et journal</w:t>
            </w:r>
          </w:p>
        </w:tc>
        <w:tc>
          <w:tcPr>
            <w:tcW w:type="dxa" w:w="356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Aucune offre du marché ne fait ce travail au niveau de l'action ; c'est la promesse</w:t>
            </w:r>
          </w:p>
        </w:tc>
      </w:tr>
      <w:tr>
        <w:tc>
          <w:tcPr>
            <w:tcW w:type="dxa" w:w="14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Orchestrateur de missions</w:t>
            </w:r>
          </w:p>
        </w:tc>
        <w:tc>
          <w:tcPr>
            <w:tcW w:type="dxa" w:w="26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Machine à états par mission, file durable dans PostgreSQL, workers Python</w:t>
            </w:r>
          </w:p>
        </w:tc>
        <w:tc>
          <w:tcPr>
            <w:tcW w:type="dxa" w:w="17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plan, collecte, proposition, validation, exécution, confirmation ; reprises idempotentes</w:t>
            </w:r>
          </w:p>
        </w:tc>
        <w:tc>
          <w:tcPr>
            <w:tcW w:type="dxa" w:w="356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Temporal Cloud ou Inngest : puissants mais hébergés hors Paris et surdimensionnés pour dix missions ; cadres d'agents génériques (LangGraph, CrewAI) : utiles pour prototyper, trop opaques pour journaliser chaque action</w:t>
            </w:r>
          </w:p>
        </w:tc>
      </w:tr>
      <w:tr>
        <w:tc>
          <w:tcPr>
            <w:tcW w:type="dxa" w:w="14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Passerelle modèles</w:t>
            </w:r>
          </w:p>
        </w:tc>
        <w:tc>
          <w:tcPr>
            <w:tcW w:type="dxa" w:w="26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Composant léger (routage, cache de contexte, budgets, mesure du coût par appel) devant les API des fournisseurs</w:t>
            </w:r>
          </w:p>
        </w:tc>
        <w:tc>
          <w:tcPr>
            <w:tcW w:type="dxa" w:w="17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Choisir le palier, cacher le contexte stable, couper au budget</w:t>
            </w:r>
          </w:p>
        </w:tc>
        <w:tc>
          <w:tcPr>
            <w:tcW w:type="dxa" w:w="356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Passerelles du marché (OpenRouter, Portkey, LiteLLM proxy) : pratiques, mais un intermédiaire de plus dans le flux des données personnelles ; LiteLLM en bibliothèque reste acceptable</w:t>
            </w:r>
          </w:p>
        </w:tc>
      </w:tr>
      <w:tr>
        <w:tc>
          <w:tcPr>
            <w:tcW w:type="dxa" w:w="14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Modèles</w:t>
            </w:r>
          </w:p>
        </w:tc>
        <w:tc>
          <w:tcPr>
            <w:tcW w:type="dxa" w:w="26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Petit : Mistral Small 4 (point d'accès UE) ; moyen : Claude Sonnet 5.5 (Bedrock, profil UE) ; frontière : Claude Opus 5.5 (idem) ; embeddings Mistral Embed</w:t>
            </w:r>
          </w:p>
        </w:tc>
        <w:tc>
          <w:tcPr>
            <w:tcW w:type="dxa" w:w="17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Petit : tri et extraction ; moyen : planification et outils ; frontière : escalade</w:t>
            </w:r>
          </w:p>
        </w:tc>
        <w:tc>
          <w:tcPr>
            <w:tcW w:type="dxa" w:w="356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Gemini 4 Argon : bon rapport prix et performance mais l'API Gemini n'offre aucune option de région et son prix double le 1er décembre 2026 ; gpt-6.1-sol en résidence UE : équivalent de Sonnet au même prix, gardé en second fournisseur ; Fable 5.1 : rétention de 30 jours imposée, hors périmètre ; modèles ouverts sur Scaleway (gpt-oss-120b, DeepSeek) : les moins chers et hébergés à Paris, à tester en bascule pour le petit palier</w:t>
            </w:r>
          </w:p>
        </w:tc>
      </w:tr>
      <w:tr>
        <w:tc>
          <w:tcPr>
            <w:tcW w:type="dxa" w:w="14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Mémoire</w:t>
            </w:r>
          </w:p>
        </w:tc>
        <w:tc>
          <w:tcPr>
            <w:tcW w:type="dxa" w:w="26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PostgreSQL géré à Paris, extension pgvector, chiffrement au repos, chiffrement applicatif des jetons OAuth, clés dans un gestionnaire de secrets</w:t>
            </w:r>
          </w:p>
        </w:tc>
        <w:tc>
          <w:tcPr>
            <w:tcW w:type="dxa" w:w="17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Préférences, entités du foyer, résumés (jamais le texte intégral des courriels), journal en écriture seule</w:t>
            </w:r>
          </w:p>
        </w:tc>
        <w:tc>
          <w:tcPr>
            <w:tcW w:type="dxa" w:w="356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Bases vectorielles dédiées (Pinecone, Qdrant Cloud) : inutiles à l'échelle du MVP, un fournisseur de plus</w:t>
            </w:r>
          </w:p>
        </w:tc>
      </w:tr>
      <w:tr>
        <w:tc>
          <w:tcPr>
            <w:tcW w:type="dxa" w:w="14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Connecteurs</w:t>
            </w:r>
          </w:p>
        </w:tc>
        <w:tc>
          <w:tcPr>
            <w:tcW w:type="dxa" w:w="26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Google (Gmail, Agenda, Drive) en périmètres restreints ; API de recherche ; Google Places ; navigateur piloté dans le nuage pour les sites sans API ; Stripe ; Brevo</w:t>
            </w:r>
          </w:p>
        </w:tc>
        <w:tc>
          <w:tcPr>
            <w:tcW w:type="dxa" w:w="17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Lire, chercher, réserver, facturer, notifier</w:t>
            </w:r>
          </w:p>
        </w:tc>
        <w:tc>
          <w:tcPr>
            <w:tcW w:type="dxa" w:w="356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Scraping maison : fragile et contraire aux conditions des sites ; appels téléphoniques automatisés : hors MVP</w:t>
            </w:r>
          </w:p>
        </w:tc>
      </w:tr>
      <w:tr>
        <w:tc>
          <w:tcPr>
            <w:tcW w:type="dxa" w:w="14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Hébergement</w:t>
            </w:r>
          </w:p>
        </w:tc>
        <w:tc>
          <w:tcPr>
            <w:tcW w:type="dxa" w:w="26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Scaleway, région Paris : conteneurs ou instances pour l'API et les workers, PostgreSQL géré avec nœud de secours, Redis géré, stockage objet, Secret Manager et Key Manager, répartiteur de charge, Cockpit pour les journaux</w:t>
            </w:r>
          </w:p>
        </w:tc>
        <w:tc>
          <w:tcPr>
            <w:tcW w:type="dxa" w:w="17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Application, base, stockage, secrets, supervision</w:t>
            </w:r>
          </w:p>
        </w:tc>
        <w:tc>
          <w:tcPr>
            <w:tcW w:type="dxa" w:w="356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OVHcloud (Gravelines ou Strasbourg) : prix comparables, catalogue moins lisible ; Clever Cloud (PaaS français, Paris) : le moins cher et le plus simple au pilote, à retenir si l'équipe n'a personne pour l'exploitation ; Supabase région Paris : le plus rapide à mettre en place mais contractant à Singapour et sous-traitant américain, en contradiction avec la promesse d'hébergement européen ; Hetzner : allemand, le moins cher, mais sans base gérée</w:t>
            </w:r>
          </w:p>
        </w:tc>
      </w:tr>
      <w:tr>
        <w:tc>
          <w:tcPr>
            <w:tcW w:type="dxa" w:w="14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Observabilité</w:t>
            </w:r>
          </w:p>
        </w:tc>
        <w:tc>
          <w:tcPr>
            <w:tcW w:type="dxa" w:w="26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Langfuse (offre gratuite en région UE au pilote, 29 $ par mois ensuite, ou auto-hébergé à Paris), Sentry pour les erreurs (région UE), Better Stack pour les journaux (tarif Europe)</w:t>
            </w:r>
          </w:p>
        </w:tc>
        <w:tc>
          <w:tcPr>
            <w:tcW w:type="dxa" w:w="17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Traces de chaque appel de modèle avec son coût, erreurs, alertes</w:t>
            </w:r>
          </w:p>
        </w:tc>
        <w:tc>
          <w:tcPr>
            <w:tcW w:type="dxa" w:w="356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Sans traces, pas de mesure du coût par mission : c'est non négociable</w:t>
            </w:r>
          </w:p>
        </w:tc>
      </w:tr>
      <w:tr>
        <w:tc>
          <w:tcPr>
            <w:tcW w:type="dxa" w:w="14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Support</w:t>
            </w:r>
          </w:p>
        </w:tc>
        <w:tc>
          <w:tcPr>
            <w:tcW w:type="dxa" w:w="26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Crisp (éditeur français) : gratuit à deux agents, 45 $ par mois à quatre</w:t>
            </w:r>
          </w:p>
        </w:tc>
        <w:tc>
          <w:tcPr>
            <w:tcW w:type="dxa" w:w="17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Boîte de réception partagée, reprise manuelle des missions échouées</w:t>
            </w:r>
          </w:p>
        </w:tc>
        <w:tc>
          <w:tcPr>
            <w:tcW w:type="dxa" w:w="356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Intercom : trois fois plus cher pour trois sièges</w:t>
            </w:r>
          </w:p>
        </w:tc>
      </w:tr>
    </w:tbl>
    <w:p>
      <w:pPr>
        <w:spacing w:after="40"/>
      </w:pPr>
    </w:p>
    <w:p>
      <w:pPr>
        <w:pStyle w:val="Heading2"/>
      </w:pPr>
      <w:r>
        <w:t>3.2 Modèles : fournisseurs, paliers et politique de routage</w:t>
      </w:r>
    </w:p>
    <w:p>
      <w:r>
        <w:t>Trois paliers, une règle : le palier le moins cher qui tient la tâche, et jamais plus haut sans une raison enregistrée. Le petit palier (Mistral Small 4 sur api.eu.mistral.ai, 0,165 $ par million de jetons en entrée avec le surcoût régional de 10 %, 0,66 $ en sortie) fait le tri nocturne, les extractions et la lecture de pages : ce sont les appels qui voient les données les plus sensibles, et c'est pourquoi un fournisseur français, traitant dans l'Union, y est préféré à Claude Haiku 5.5 pourtant moins cher (0,10 / 0,50 $). Le palier moyen (Claude Sonnet 5.5 via Amazon Bedrock en profil d'inférence UE, 2,20 / 11 $) planifie, appelle les outils, pilote le navigateur et rédige : il est retenu pour les scores publics d'agents (tau2-bench, OSWorld), avec Mistral Large 4 (1,36 / 4,18 $, deux fois moins cher en sortie) testé en bascule pendant le pilote. Le palier frontière (Claude Opus 5.5, 4,40 / 22 $) n'intervient qu'après deux échecs du palier moyen, jamais pour le socle, et sa part est plafonnée à 10 % des appels moyens.</w:t>
      </w:r>
    </w:p>
    <w:p>
      <w:r>
        <w:t>Trois choix de résidence sont possibles et le classeur les chiffre tous au même surcoût de 10 % : Bedrock en profil UE (données traitées dans les régions européennes d'AWS, Paris comprise, AWS sous-traitant), Vertex AI en multi-région UE (Google sous-traitant, Belgique ou Pays-Bas pour Claude), ou l'API OpenAI en résidence UE (sur approbation). L'API Anthropic de première main n'offre pas d'option européenne ; l'API Gemini n'offre aucune option de région. Le choix Bedrock tient à une raison pratique : un seul sous-traitant américain (AWS) pour le palier moyen et le palier frontière, déjà présent dans la politique de confidentialité V2, et des quotas suffisants sans négociation (2 millions de jetons par minute par défaut).</w:t>
      </w:r>
    </w:p>
    <w:p>
      <w:r>
        <w:t>Le cache de contexte est la seconde économie après le routage : le contexte stable d'un abonné (consignes, préférences, entités du foyer, environ 20 000 jetons) relu dix fois dans la journée coûte 0,47 $ sans cache et 0,14 $ avec, sur le palier moyen. Le classeur suppose 40 à 50 % d'entrée cachée sur les appels moyens ; si le cache ne fonctionne pas, le coût des modèles monte d'un tiers (onglet Sensibilité).</w:t>
      </w:r>
    </w:p>
    <w:p>
      <w:r>
        <w:t>Un point de vigilance sur les prix : ils ne baissent pas tous. Google double Gemini 4 Argon le 1er décembre 2026 et Gemini 3.8 Flash le 1er janvier 2027 ; Mistral a relevé Large 4 à 1,36 $ contre 0,50 $ pour Large 3. La passerelle unique et le second fournisseur par palier sont la réponse : changer de modèle doit être une ligne de configuration, pas un projet.</w:t>
      </w:r>
    </w:p>
    <w:p>
      <w:pPr>
        <w:pStyle w:val="Heading2"/>
      </w:pPr>
      <w:r>
        <w:t>3.3 Mémoire : ce qu'on garde, ce qu'on ne garde pas</w:t>
      </w:r>
    </w:p>
    <w:p>
      <w:r>
        <w:t>La mémoire conserve des résumés et des entités, pas les courriels. Un courriel lu par le socle produit une ligne de résumé (objet, expéditeur, catégorie, entités, échéance éventuelle) et, si l'utilisateur l'a demandé, un embedding du résumé ; le texte intégral reste chez Google et n'est relu que pour exécuter une mission qui le concerne. Cette règle divise par dix le volume stocké, réduit l'exposition en cas d'incident, et rend l'AIPD défendable. Les sphères (personnelle, professionnelle, foyer) sont des étiquettes sur chaque entité, filtrées à chaque requête ; les profils multiples de l'offre Family viendront après le pilote sur cette base.</w:t>
      </w:r>
    </w:p>
    <w:p>
      <w:r>
        <w:t>Durées de conservation proposées pour la politique de confidentialité V2 : résumés et entités, durée de l'abonnement plus 30 jours ; journal des actions, trois ans (preuve en cas de contestation) ; traces techniques avec contenu, 30 jours ; données particulières incidentes, jamais stockées.</w:t>
      </w:r>
    </w:p>
    <w:p>
      <w:pPr>
        <w:pStyle w:val="Heading2"/>
      </w:pPr>
      <w:r>
        <w:t>3.4 Connecteurs : la vérification Google est le chemin critique</w:t>
      </w:r>
    </w:p>
    <w:p>
      <w:r>
        <w:t xml:space="preserve">Helium lit Gmail, écrit dans l'agenda et envoie des courriels : les périmètres </w:t>
      </w:r>
      <w:r>
        <w:rPr>
          <w:rFonts w:ascii="Consolas" w:hAnsi="Consolas" w:eastAsia="Consolas"/>
        </w:rPr>
        <w:t>gmail.readonly</w:t>
      </w:r>
      <w:r>
        <w:t xml:space="preserve"> et </w:t>
      </w:r>
      <w:r>
        <w:rPr>
          <w:rFonts w:ascii="Consolas" w:hAnsi="Consolas" w:eastAsia="Consolas"/>
        </w:rPr>
        <w:t>gmail.send</w:t>
      </w:r>
      <w:r>
        <w:t xml:space="preserve"> sont classés « restreints » par Google, </w:t>
      </w:r>
      <w:r>
        <w:rPr>
          <w:rFonts w:ascii="Consolas" w:hAnsi="Consolas" w:eastAsia="Consolas"/>
        </w:rPr>
        <w:t>calendar.events</w:t>
      </w:r>
      <w:r>
        <w:t xml:space="preserve"> est « sensible ». Un périmètre restreint impose trois choses, dans cet ordre : une vérification de marque (domaine vérifié, page d'accueil publique, politique de confidentialité hébergée sur le même domaine, deux à trois jours ouvrés), une vérification des périmètres (justification de chaque périmètre, vidéo de démonstration non répertoriée, « plusieurs semaines » selon Google, quatre à six semaines de bout en bout selon les intégrateurs, jusqu'à douze quand le dossier cale), puis une évaluation de sécurité CASA par un laboratoire agréé, payée par le développeur, parce que Helium traite les données Gmail sur ses serveurs. Au niveau AL1 (dit « Tier 2 »), le marché est entre 540 et 1 800 $ par an (TAC Security, Netsentries, Leviathan à partir de 800 $ ou en forfaits de 3 000 à 6 000 $), une à trois semaines une fois les analyses prêtes, renouvellement tous les douze mois ; l'ancienne auto-évaluation gratuite est marquée obsolète. Orange Cyberdefense figure parmi les laboratoires cités, ce qui permet un prestataire français.</w:t>
      </w:r>
    </w:p>
    <w:p>
      <w:r>
        <w:t>Tant que l'application n'est pas vérifiée, elle reste en statut « test » : 100 utilisateurs au plus, inscrits sur une liste, et des jetons qui expirent au bout de sept jours, donc une reconnexion hebdomadaire. C'est suffisant pour le prototype de novembre et pour les dix pilotes de janvier, à condition de le dire aux pilotes. Au-delà de 100 comptes, rien n'est possible sans la vérification : c'est le chemin critique du lancement, pas le code. Le dossier doit donc partir le 5 janvier au plus tard, ce qui suppose le domaine (D-02), la politique de confidentialité V2 publiée et la vidéo de démonstration en décembre.</w:t>
      </w:r>
    </w:p>
    <w:p>
      <w:r>
        <w:t xml:space="preserve">Trois décisions techniques réduisent le dossier. Demander </w:t>
      </w:r>
      <w:r>
        <w:rPr>
          <w:rFonts w:ascii="Consolas" w:hAnsi="Consolas" w:eastAsia="Consolas"/>
        </w:rPr>
        <w:t>drive.file</w:t>
      </w:r>
      <w:r>
        <w:t xml:space="preserve"> (fichiers que l'utilisateur ouvre lui-même) plutôt que </w:t>
      </w:r>
      <w:r>
        <w:rPr>
          <w:rFonts w:ascii="Consolas" w:hAnsi="Consolas" w:eastAsia="Consolas"/>
        </w:rPr>
        <w:t>drive.readonly</w:t>
      </w:r>
      <w:r>
        <w:t xml:space="preserve"> retire un périmètre restreint. Préférer les notifications push de Gmail (</w:t>
      </w:r>
      <w:r>
        <w:rPr>
          <w:rFonts w:ascii="Consolas" w:hAnsi="Consolas" w:eastAsia="Consolas"/>
        </w:rPr>
        <w:t>users.watch</w:t>
      </w:r>
      <w:r>
        <w:t>, à renouveler tous les sept jours) au sondage toutes les cinq minutes divise la consommation de quota par dix ; de toute façon, 1 000 abonnés consomment environ un million d'unités par jour contre un seuil de facturation de 80 millions. Et ne jamais lire le texte intégral d'un courriel hors d'une mission qui le concerne : c'est l'argument central du dossier de périmètres, et de l'AIPD.</w:t>
      </w:r>
    </w:p>
    <w:p>
      <w:r>
        <w:t>Les comptes Microsoft 365 et iCloud restent hors du MVP : Microsoft a son propre processus de vérification (Publisher verification, Graph permissions) et Apple n'expose pas Mail. La cible du pilote est donc explicitement « foyer sur Google », ce que le guide d'entretien doit vérifier.</w:t>
      </w:r>
    </w:p>
    <w:p>
      <w:pPr>
        <w:pStyle w:val="Heading2"/>
      </w:pPr>
      <w:r>
        <w:t>3.5 Hébergement et résidence des données</w:t>
      </w:r>
    </w:p>
    <w:p>
      <w:r>
        <w:t>Scaleway, région Paris, pour l'application et les données : deux instances pour l'API, une pour les workers, PostgreSQL géré avec nœud de secours, Redis géré, stockage objet, gestionnaire de secrets et de clés, répartiteur de charge, journaux et métriques. Au pilote, environ 110 € par mois (calcul sur les prix publics du 28 octobre 2026, annexe A) ; entre 100 et 1 000 abonnés, environ 300 € par mois. Avec les services loués (observabilité, support, courriels, domaine), la plateforme coûte 400 à 500 € par mois à 300 abonnés, soit 1,50 € par abonné : c'est l'hypothèse « hébergement » du modèle 36 mois, qui vaut donc à partir de 300 abonnés et pèse 4 à 5 € par abonné en dessous.</w:t>
      </w:r>
    </w:p>
    <w:p>
      <w:r>
        <w:t>Pourquoi Scaleway plutôt que les alternatives. OVHcloud est équivalent en prix et en localisation ; Scaleway a un catalogue plus lisible et des services gérés (Redis, secrets, clés) tous publiés au prix. Clever Cloud, PaaS français hébergé à Paris, est l'option à retenir si l'équipe n'a personne pour l'exploitation : moins cher au pilote (environ 70 €), journaux inclus, mais pas de gestionnaire de secrets et une haute disponibilité à négocier. Supabase propose une région Paris et met l'équipe en route en une journée, mais le contractant est à Singapour, les sous-traitants sont américains et la promesse « hébergement européen » de la promesse client ne se tiendrait plus qu'au sens géographique : c'est un choix de vitesse qui se paie en argumentaire, et Tiffany doit le trancher avec Alice. Hetzner, allemand et le moins cher, n'a pas de base de données gérée : à exclure tant qu'Isaac n'a pas d'astreinte.</w:t>
      </w:r>
    </w:p>
    <w:p>
      <w:r>
        <w:t>Ce que « hébergement européen » veut dire dans cette architecture, et ce qu'il faut écrire dans la politique de confidentialité : application, base de données, mémoire et journal à Paris chez un hébergeur français ; appels de modèles traités dans l'Union (Mistral en point d'accès UE pour le petit palier, AWS en profil UE pour les paliers moyen et frontière) ; outils tiers (recherche, Places, navigateur piloté, Stripe, Brevo) chacun avec son sous-traitant et sa localisation listés. Le cadre de transfert UE États-Unis reste en vigueur (le Tribunal a rejeté le recours Latombe le 3 septembre 2025, pourvoi pendant devant la Cour), mais la CNIL et ses homologues nordiques recommandent un plan de sortie : la passerelle unique et Mistral à chaque palier sont ce plan.</w:t>
      </w:r>
    </w:p>
    <w:p>
      <w:r>
        <w:br w:type="page"/>
      </w:r>
    </w:p>
    <w:p>
      <w:pPr>
        <w:pStyle w:val="Heading1"/>
        <w:pBdr>
          <w:bottom w:val="single" w:sz="10" w:space="4" w:color="F0916A"/>
        </w:pBdr>
      </w:pPr>
      <w:r>
        <w:t>4. Autonomie et sécurité : la politique de validation et son application technique</w:t>
      </w:r>
    </w:p>
    <w:p>
      <w:r>
        <w:t>La politique de la contribution marketing (A automatique, C confirmation, X exclu) devient, techniquement, trois règles que le code applique et que le journal prouve.</w:t>
      </w:r>
    </w:p>
    <w:p>
      <w:pPr>
        <w:spacing w:after="60"/>
        <w:ind w:left="425" w:hanging="425"/>
      </w:pPr>
      <w:r>
        <w:rPr>
          <w:b/>
        </w:rPr>
        <w:t>1.</w:t>
        <w:tab/>
      </w:r>
      <w:r>
        <w:rPr>
          <w:b/>
        </w:rPr>
        <w:t>Rien ne sort sans mandat.</w:t>
      </w:r>
      <w:r>
        <w:t xml:space="preserve"> Toute action visible par un tiers ou qui engage l'utilisateur (envoyer, réserver, modifier un agenda partagé, annuler) exige un mandat : un objet signé créé par la validation dans l'application, qui nomme l'action, son périmètre (un destinataire, une réservation, un créneau) et expire au bout de 24 heures. L'outil qui exécute vérifie le mandat ; sans mandat valide, il refuse et journalise le refus.</w:t>
      </w:r>
    </w:p>
    <w:p>
      <w:pPr>
        <w:spacing w:after="60"/>
        <w:ind w:left="425" w:hanging="425"/>
      </w:pPr>
      <w:r>
        <w:rPr>
          <w:b/>
        </w:rPr>
        <w:t>2.</w:t>
        <w:tab/>
      </w:r>
      <w:r>
        <w:rPr>
          <w:b/>
        </w:rPr>
        <w:t>Le contenu n'est jamais une instruction.</w:t>
      </w:r>
      <w:r>
        <w:t xml:space="preserve"> Courriels, pages web, résultats de recherche et réponses des sites sont des données non fiables : ils sont balisés comme tels dans le contexte des modèles, les outils ne sont pas accessibles aux appels qui les lisent (le socle n'a aucun outil d'action), et une proposition issue d'un contenu lu passe toujours par la validation humaine. C'est la défense principale contre l'injection de prompt : sur le benchmark AgentDojo, les injections réussissent encore dans 1 à 7 % des tentatives sur les modèles de pointe, et des attaques automatisées répétées quatre fois atteignent près de 30 % de réussite sur GPT-5 (ETH Zurich, 2026 ; annexe A, § A.2) ; sur des milliers de courriels lus par abonné, ce n'est pas un risque résiduel, c'est une certitude statistique, et seule la séparation entre ce qui lit et ce qui agit la rend inoffensive.</w:t>
      </w:r>
    </w:p>
    <w:p>
      <w:pPr>
        <w:spacing w:after="60"/>
        <w:ind w:left="425" w:hanging="425"/>
      </w:pPr>
      <w:r>
        <w:rPr>
          <w:b/>
        </w:rPr>
        <w:t>3.</w:t>
        <w:tab/>
      </w:r>
      <w:r>
        <w:rPr>
          <w:b/>
        </w:rPr>
        <w:t>Le journal est en écriture seule.</w:t>
      </w:r>
      <w:r>
        <w:t xml:space="preserve"> Chaque proposition, validation, exécution, échec et reprise écrit une ligne horodatée que ni l'utilisateur ni l'équipe ne peuvent modifier ; l'utilisateur la consulte à tout moment. Le journal est la preuve de l'engagement n° 2 de la promesse client et la pièce que Tiffany demandera en cas de contestation.</w:t>
      </w:r>
    </w:p>
    <w:p>
      <w:r>
        <w:t xml:space="preserve">Périmètres Google demandés au MVP : lecture de Gmail, envoi de Gmail (après validation), lecture et écriture des événements d'agenda, lecture des métadonnées Drive et des fichiers ouverts par l'utilisateur (périmètre </w:t>
      </w:r>
      <w:r>
        <w:rPr>
          <w:rFonts w:ascii="Consolas" w:hAnsi="Consolas" w:eastAsia="Consolas"/>
        </w:rPr>
        <w:t>drive.file</w:t>
      </w:r>
      <w:r>
        <w:t>), jamais la lecture intégrale de Drive. Chaque périmètre se justifie par une mission ; c'est ce que la vérification Google demande.</w:t>
      </w:r>
    </w:p>
    <w:p>
      <w:r>
        <w:t>Mesures complémentaires : chiffrement applicatif des jetons OAuth avec rotation, clés par environnement, accès de l'équipe aux données de production limité à deux personnes et journalisé, procédure de violation de données (72 heures CNIL) écrite avant le pilote, pentest gris avant l'ouverture au-delà des dix pilotes, AIPD validée par Tiffany avant la première lecture d'une boîte réelle.</w:t>
      </w:r>
    </w:p>
    <w:p>
      <w:r>
        <w:br w:type="page"/>
      </w:r>
    </w:p>
    <w:p>
      <w:pPr>
        <w:pStyle w:val="Heading1"/>
        <w:pBdr>
          <w:bottom w:val="single" w:sz="10" w:space="4" w:color="F0916A"/>
        </w:pBdr>
      </w:pPr>
      <w:r>
        <w:t>5. Coût par mission</w:t>
      </w:r>
    </w:p>
    <w:p>
      <w:pPr>
        <w:pStyle w:val="Heading2"/>
      </w:pPr>
      <w:r>
        <w:t>5.1 Méthode</w:t>
      </w:r>
    </w:p>
    <w:p>
      <w:r>
        <w:t>Chaque mission est décrite par ce qu'elle consomme : appels au petit modèle et au modèle moyen (nombre, jetons d'entrée dont part cachée, jetons de sortie), part des appels moyens escaladés vers le modèle frontière, requêtes de recherche, appels Places, lectures de page, minutes de navigateur piloté, facteur de reprises, taux de réussite estimé, part des échecs traités par un humain et minutes par traitement. Le coût d'une exécution multiplie ces volumes par les prix unitaires de l'onglet Tarifs (prix publics relevés les 27 et 28 octobre 2026, convertis au taux de la BCE), le coût mensuel multiplie par la fréquence d'un abonné Premium, et la synthèse applique des multiplicateurs par offre. Les benchmarks publics d'agents donnent l'ordre de grandeur externe : sur tau2-bench, une tâche de service client outillée coûte 0,26 à 0,49 $ par trajectoire avec un modèle de classe Sonnet et 0,07 à 0,11 $ avec gpt-5.2, pour 76 à 85 % de réussite au premier essai ; les missions de réservation du classeur se situent dans cette fourchette avant reprises.</w:t>
      </w:r>
    </w:p>
    <w:p>
      <w:r>
        <w:t>Trois conventions. Le socle nocturne (M0) est compté comme une mission parce qu'il tourne pour chaque abonné chaque nuit ; son coût est réparti sur les missions visibles dans le coût moyen par mission. L'activation (M11) est comptée une fois par nouvel abonné et rattachée au coût d'acquisition. Le support humain est compté en espérance : probabilité d'échec, multipliée par la part des échecs qu'un humain reprend, multipliée par les minutes et par 0,50 € la minute (30 € de l'heure chargée).</w:t>
      </w:r>
    </w:p>
    <w:p>
      <w:pPr>
        <w:pStyle w:val="Heading2"/>
      </w:pPr>
      <w:r>
        <w:t>5.2 Résultats par mission (abonné Premium, hypothèses d'ingénierie)</w:t>
      </w:r>
    </w:p>
    <w:tbl>
      <w:tblPr>
        <w:tblW w:type="auto" w:w="0"/>
        <w:jc w:val="center"/>
        <w:tblLayout w:type="fixed"/>
        <w:tblLook w:firstColumn="1" w:firstRow="1" w:lastColumn="0" w:lastRow="0" w:noHBand="0" w:noVBand="1" w:val="04A0"/>
      </w:tblPr>
      <w:tblGrid>
        <w:gridCol w:w="760"/>
        <w:gridCol w:w="1719"/>
        <w:gridCol w:w="760"/>
        <w:gridCol w:w="1093"/>
        <w:gridCol w:w="822"/>
        <w:gridCol w:w="760"/>
        <w:gridCol w:w="822"/>
        <w:gridCol w:w="1003"/>
        <w:gridCol w:w="760"/>
        <w:gridCol w:w="912"/>
      </w:tblGrid>
      <w:tr>
        <w:tc>
          <w:tcPr>
            <w:tcW w:type="dxa" w:w="76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w:t>
            </w:r>
          </w:p>
        </w:tc>
        <w:tc>
          <w:tcPr>
            <w:tcW w:type="dxa" w:w="171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Mission</w:t>
            </w:r>
          </w:p>
        </w:tc>
        <w:tc>
          <w:tcPr>
            <w:tcW w:type="dxa" w:w="76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Niveau</w:t>
            </w:r>
          </w:p>
        </w:tc>
        <w:tc>
          <w:tcPr>
            <w:tcW w:type="dxa" w:w="109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Exécutions / mois</w:t>
            </w:r>
          </w:p>
        </w:tc>
        <w:tc>
          <w:tcPr>
            <w:tcW w:type="dxa" w:w="82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Modèles</w:t>
            </w:r>
          </w:p>
        </w:tc>
        <w:tc>
          <w:tcPr>
            <w:tcW w:type="dxa" w:w="76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Outils</w:t>
            </w:r>
          </w:p>
        </w:tc>
        <w:tc>
          <w:tcPr>
            <w:tcW w:type="dxa" w:w="82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Support</w:t>
            </w:r>
          </w:p>
        </w:tc>
        <w:tc>
          <w:tcPr>
            <w:tcW w:type="dxa" w:w="100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Coût HT / exécution</w:t>
            </w:r>
          </w:p>
        </w:tc>
        <w:tc>
          <w:tcPr>
            <w:tcW w:type="dxa" w:w="76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Coût / mois</w:t>
            </w:r>
          </w:p>
        </w:tc>
        <w:tc>
          <w:tcPr>
            <w:tcW w:type="dxa" w:w="91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Réussite estimée</w:t>
            </w:r>
          </w:p>
        </w:tc>
      </w:tr>
      <w:tr>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M0</w:t>
            </w:r>
          </w:p>
        </w:tc>
        <w:tc>
          <w:tcPr>
            <w:tcW w:type="dxa" w:w="171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Socle : tri quotidien des courriels et de l'agenda (partagé par M1, M2, M8, M9)</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w:t>
            </w:r>
          </w:p>
        </w:tc>
        <w:tc>
          <w:tcPr>
            <w:tcW w:type="dxa" w:w="10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30,0</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0,004 €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0,000 €</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0,000 €</w:t>
            </w:r>
          </w:p>
        </w:tc>
        <w:tc>
          <w:tcPr>
            <w:tcW w:type="dxa" w:w="10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0,004 €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0,11 €</w:t>
            </w:r>
          </w:p>
        </w:tc>
        <w:tc>
          <w:tcPr>
            <w:tcW w:type="dxa" w:w="91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97 %</w:t>
            </w:r>
          </w:p>
        </w:tc>
      </w:tr>
      <w:tr>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M1</w:t>
            </w:r>
          </w:p>
        </w:tc>
        <w:tc>
          <w:tcPr>
            <w:tcW w:type="dxa" w:w="171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Briefing quotidien</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w:t>
            </w:r>
          </w:p>
        </w:tc>
        <w:tc>
          <w:tcPr>
            <w:tcW w:type="dxa" w:w="10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30,0</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0,015 €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0,000 €</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0,008 €</w:t>
            </w:r>
          </w:p>
        </w:tc>
        <w:tc>
          <w:tcPr>
            <w:tcW w:type="dxa" w:w="10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0,022 €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0,66 €</w:t>
            </w:r>
          </w:p>
        </w:tc>
        <w:tc>
          <w:tcPr>
            <w:tcW w:type="dxa" w:w="91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95 %</w:t>
            </w:r>
          </w:p>
        </w:tc>
      </w:tr>
      <w:tr>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M2</w:t>
            </w:r>
          </w:p>
        </w:tc>
        <w:tc>
          <w:tcPr>
            <w:tcW w:type="dxa" w:w="171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Suivi des échéances personnelles</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w:t>
            </w:r>
          </w:p>
        </w:tc>
        <w:tc>
          <w:tcPr>
            <w:tcW w:type="dxa" w:w="10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8,0</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0,011 €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0,000 €</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0,015 €</w:t>
            </w:r>
          </w:p>
        </w:tc>
        <w:tc>
          <w:tcPr>
            <w:tcW w:type="dxa" w:w="10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0,026 €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0,21 €</w:t>
            </w:r>
          </w:p>
        </w:tc>
        <w:tc>
          <w:tcPr>
            <w:tcW w:type="dxa" w:w="91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90 %</w:t>
            </w:r>
          </w:p>
        </w:tc>
      </w:tr>
      <w:tr>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M3</w:t>
            </w:r>
          </w:p>
        </w:tc>
        <w:tc>
          <w:tcPr>
            <w:tcW w:type="dxa" w:w="171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Prise de rendez-vous de service (garage, coiffeur, artisan)</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w:t>
            </w:r>
          </w:p>
        </w:tc>
        <w:tc>
          <w:tcPr>
            <w:tcW w:type="dxa" w:w="10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1,0</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0,372 €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0,205 €</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0,420 €</w:t>
            </w:r>
          </w:p>
        </w:tc>
        <w:tc>
          <w:tcPr>
            <w:tcW w:type="dxa" w:w="10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0,997 €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1,00 €</w:t>
            </w:r>
          </w:p>
        </w:tc>
        <w:tc>
          <w:tcPr>
            <w:tcW w:type="dxa" w:w="91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65 %</w:t>
            </w:r>
          </w:p>
        </w:tc>
      </w:tr>
      <w:tr>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M4</w:t>
            </w:r>
          </w:p>
        </w:tc>
        <w:tc>
          <w:tcPr>
            <w:tcW w:type="dxa" w:w="171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Réservation de restaurant</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w:t>
            </w:r>
          </w:p>
        </w:tc>
        <w:tc>
          <w:tcPr>
            <w:tcW w:type="dxa" w:w="10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2,0</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0,277 €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0,182 €</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0,225 €</w:t>
            </w:r>
          </w:p>
        </w:tc>
        <w:tc>
          <w:tcPr>
            <w:tcW w:type="dxa" w:w="10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0,684 €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1,37 €</w:t>
            </w:r>
          </w:p>
        </w:tc>
        <w:tc>
          <w:tcPr>
            <w:tcW w:type="dxa" w:w="91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70 %</w:t>
            </w:r>
          </w:p>
        </w:tc>
      </w:tr>
      <w:tr>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M5</w:t>
            </w:r>
          </w:p>
        </w:tc>
        <w:tc>
          <w:tcPr>
            <w:tcW w:type="dxa" w:w="171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Organisation d'un déplacement privé</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w:t>
            </w:r>
          </w:p>
        </w:tc>
        <w:tc>
          <w:tcPr>
            <w:tcW w:type="dxa" w:w="10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0,5</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0,232 €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0,082 €</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0,200 €</w:t>
            </w:r>
          </w:p>
        </w:tc>
        <w:tc>
          <w:tcPr>
            <w:tcW w:type="dxa" w:w="10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0,514 €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0,26 €</w:t>
            </w:r>
          </w:p>
        </w:tc>
        <w:tc>
          <w:tcPr>
            <w:tcW w:type="dxa" w:w="91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75 %</w:t>
            </w:r>
          </w:p>
        </w:tc>
      </w:tr>
      <w:tr>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M6</w:t>
            </w:r>
          </w:p>
        </w:tc>
        <w:tc>
          <w:tcPr>
            <w:tcW w:type="dxa" w:w="171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Brouillons de courriels personnels</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w:t>
            </w:r>
          </w:p>
        </w:tc>
        <w:tc>
          <w:tcPr>
            <w:tcW w:type="dxa" w:w="10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6,0</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0,013 €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0,000 €</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0,007 €</w:t>
            </w:r>
          </w:p>
        </w:tc>
        <w:tc>
          <w:tcPr>
            <w:tcW w:type="dxa" w:w="10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0,020 €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0,12 €</w:t>
            </w:r>
          </w:p>
        </w:tc>
        <w:tc>
          <w:tcPr>
            <w:tcW w:type="dxa" w:w="91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85 %</w:t>
            </w:r>
          </w:p>
        </w:tc>
      </w:tr>
      <w:tr>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M7</w:t>
            </w:r>
          </w:p>
        </w:tc>
        <w:tc>
          <w:tcPr>
            <w:tcW w:type="dxa" w:w="171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Coordination de l'agenda familial</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w:t>
            </w:r>
          </w:p>
        </w:tc>
        <w:tc>
          <w:tcPr>
            <w:tcW w:type="dxa" w:w="10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4,0</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0,014 €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0,000 €</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0,030 €</w:t>
            </w:r>
          </w:p>
        </w:tc>
        <w:tc>
          <w:tcPr>
            <w:tcW w:type="dxa" w:w="10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0,044 €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0,18 €</w:t>
            </w:r>
          </w:p>
        </w:tc>
        <w:tc>
          <w:tcPr>
            <w:tcW w:type="dxa" w:w="91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80 %</w:t>
            </w:r>
          </w:p>
        </w:tc>
      </w:tr>
      <w:tr>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M8</w:t>
            </w:r>
          </w:p>
        </w:tc>
        <w:tc>
          <w:tcPr>
            <w:tcW w:type="dxa" w:w="171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Suivi des abonnements</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w:t>
            </w:r>
          </w:p>
        </w:tc>
        <w:tc>
          <w:tcPr>
            <w:tcW w:type="dxa" w:w="10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1,0</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0,020 €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0,000 €</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0,030 €</w:t>
            </w:r>
          </w:p>
        </w:tc>
        <w:tc>
          <w:tcPr>
            <w:tcW w:type="dxa" w:w="10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0,050 €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0,05 €</w:t>
            </w:r>
          </w:p>
        </w:tc>
        <w:tc>
          <w:tcPr>
            <w:tcW w:type="dxa" w:w="91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85 %</w:t>
            </w:r>
          </w:p>
        </w:tc>
      </w:tr>
      <w:tr>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M9</w:t>
            </w:r>
          </w:p>
        </w:tc>
        <w:tc>
          <w:tcPr>
            <w:tcW w:type="dxa" w:w="171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Relances et engagements en attente</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w:t>
            </w:r>
          </w:p>
        </w:tc>
        <w:tc>
          <w:tcPr>
            <w:tcW w:type="dxa" w:w="10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4,0</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0,008 €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0,000 €</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0,007 €</w:t>
            </w:r>
          </w:p>
        </w:tc>
        <w:tc>
          <w:tcPr>
            <w:tcW w:type="dxa" w:w="10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0,016 €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0,06 €</w:t>
            </w:r>
          </w:p>
        </w:tc>
        <w:tc>
          <w:tcPr>
            <w:tcW w:type="dxa" w:w="91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85 %</w:t>
            </w:r>
          </w:p>
        </w:tc>
      </w:tr>
      <w:tr>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M10</w:t>
            </w:r>
          </w:p>
        </w:tc>
        <w:tc>
          <w:tcPr>
            <w:tcW w:type="dxa" w:w="171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Préparation d'un événement personnel</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w:t>
            </w:r>
          </w:p>
        </w:tc>
        <w:tc>
          <w:tcPr>
            <w:tcW w:type="dxa" w:w="10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0,5</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0,083 €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0,077 €</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0,150 €</w:t>
            </w:r>
          </w:p>
        </w:tc>
        <w:tc>
          <w:tcPr>
            <w:tcW w:type="dxa" w:w="10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0,309 €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0,15 €</w:t>
            </w:r>
          </w:p>
        </w:tc>
        <w:tc>
          <w:tcPr>
            <w:tcW w:type="dxa" w:w="91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70 %</w:t>
            </w:r>
          </w:p>
        </w:tc>
      </w:tr>
      <w:tr>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M11</w:t>
            </w:r>
          </w:p>
        </w:tc>
        <w:tc>
          <w:tcPr>
            <w:tcW w:type="dxa" w:w="171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Activation : lecture initiale de la boîte et profil (une fois par nouvel abonné)</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w:t>
            </w:r>
          </w:p>
        </w:tc>
        <w:tc>
          <w:tcPr>
            <w:tcW w:type="dxa" w:w="10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0,145 €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0,000 €</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0,013 €</w:t>
            </w:r>
          </w:p>
        </w:tc>
        <w:tc>
          <w:tcPr>
            <w:tcW w:type="dxa" w:w="10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0,157 €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0,00 €</w:t>
            </w:r>
          </w:p>
        </w:tc>
        <w:tc>
          <w:tcPr>
            <w:tcW w:type="dxa" w:w="91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95 %</w:t>
            </w:r>
          </w:p>
        </w:tc>
      </w:tr>
      <w:tr>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p>
        </w:tc>
        <w:tc>
          <w:tcPr>
            <w:tcW w:type="dxa" w:w="1719"/>
            <w:tcMar>
              <w:top w:w="60" w:type="dxa"/>
              <w:bottom w:w="60" w:type="dxa"/>
              <w:start w:w="90" w:type="dxa"/>
              <w:end w:w="90" w:type="dxa"/>
            </w:tcMar>
            <w:tcBorders>
              <w:top w:val="nil"/>
              <w:left w:val="nil"/>
              <w:bottom w:val="single" w:sz="4" w:color="E4DDD2"/>
              <w:right w:val="nil"/>
            </w:tcBorders>
          </w:tcPr>
          <w:p>
            <w:pPr>
              <w:spacing w:after="0" w:line="252" w:lineRule="auto"/>
            </w:pPr>
            <w:r/>
            <w:r>
              <w:rPr>
                <w:b/>
                <w:color w:val="201C19"/>
                <w:sz w:val="16"/>
              </w:rPr>
              <w:t>Total Premium, M0 à M10</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p>
        </w:tc>
        <w:tc>
          <w:tcPr>
            <w:tcW w:type="dxa" w:w="10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87,0</w:t>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p>
        </w:tc>
        <w:tc>
          <w:tcPr>
            <w:tcW w:type="dxa" w:w="822"/>
            <w:tcMar>
              <w:top w:w="60" w:type="dxa"/>
              <w:bottom w:w="60" w:type="dxa"/>
              <w:start w:w="90" w:type="dxa"/>
              <w:end w:w="90" w:type="dxa"/>
            </w:tcMar>
            <w:tcBorders>
              <w:top w:val="nil"/>
              <w:left w:val="nil"/>
              <w:bottom w:val="single" w:sz="4" w:color="E4DDD2"/>
              <w:right w:val="nil"/>
            </w:tcBorders>
          </w:tcPr>
          <w:p>
            <w:pPr>
              <w:spacing w:after="0" w:line="252" w:lineRule="auto"/>
            </w:pPr>
            <w:r/>
          </w:p>
        </w:tc>
        <w:tc>
          <w:tcPr>
            <w:tcW w:type="dxa" w:w="10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moyenne 0,048 €</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b/>
                <w:color w:val="201C19"/>
                <w:sz w:val="16"/>
              </w:rPr>
              <w:t>4,16 €</w:t>
            </w:r>
          </w:p>
        </w:tc>
        <w:tc>
          <w:tcPr>
            <w:tcW w:type="dxa" w:w="912"/>
            <w:tcMar>
              <w:top w:w="60" w:type="dxa"/>
              <w:bottom w:w="60" w:type="dxa"/>
              <w:start w:w="90" w:type="dxa"/>
              <w:end w:w="90" w:type="dxa"/>
            </w:tcMar>
            <w:tcBorders>
              <w:top w:val="nil"/>
              <w:left w:val="nil"/>
              <w:bottom w:val="single" w:sz="4" w:color="E4DDD2"/>
              <w:right w:val="nil"/>
            </w:tcBorders>
          </w:tcPr>
          <w:p>
            <w:pPr>
              <w:spacing w:after="0" w:line="252" w:lineRule="auto"/>
            </w:pPr>
            <w:r/>
          </w:p>
        </w:tc>
      </w:tr>
    </w:tbl>
    <w:p>
      <w:pPr>
        <w:spacing w:after="40"/>
      </w:pPr>
    </w:p>
    <w:p>
      <w:r>
        <w:t>Lecture. Le socle et le briefing, qui tournent chaque jour, coûtent ensemble 0,77 € par mois : l'habitude quotidienne est bon marché. Une réservation de restaurant coûte 0,68 € et un rendez-vous de service 1,00 €, dont plus de la moitié en support humain espéré, parce que le taux de réussite estimé (65 à 70 %) est celui des agents web publics sur des sites non coopératifs. Le déplacement (0,51 €) est la mission la plus coûteuse en jetons mais la moins fréquente. L'activation coûte 0,16 € par nouvel abonné en tarif lot. Tous ces chiffres sont des estimations ; les cellules bleues du classeur sont faites pour être remplacées.</w:t>
      </w:r>
    </w:p>
    <w:p>
      <w:pPr>
        <w:pStyle w:val="Heading2"/>
      </w:pPr>
      <w:r>
        <w:t>5.3 Coût variable par abonné et comparaison avec l'hypothèse Finance</w:t>
      </w:r>
    </w:p>
    <w:tbl>
      <w:tblPr>
        <w:tblW w:type="auto" w:w="0"/>
        <w:jc w:val="center"/>
        <w:tblLayout w:type="fixed"/>
        <w:tblLook w:firstColumn="1" w:firstRow="1" w:lastColumn="0" w:lastRow="0" w:noHBand="0" w:noVBand="1" w:val="04A0"/>
      </w:tblPr>
      <w:tblGrid>
        <w:gridCol w:w="4262"/>
        <w:gridCol w:w="1717"/>
        <w:gridCol w:w="1717"/>
        <w:gridCol w:w="1717"/>
      </w:tblGrid>
      <w:tr>
        <w:tc>
          <w:tcPr>
            <w:tcW w:type="dxa" w:w="426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Par abonné et par mois</w:t>
            </w:r>
          </w:p>
        </w:tc>
        <w:tc>
          <w:tcPr>
            <w:tcW w:type="dxa" w:w="171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Personal (29 € TTC)</w:t>
            </w:r>
          </w:p>
        </w:tc>
        <w:tc>
          <w:tcPr>
            <w:tcW w:type="dxa" w:w="171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Premium (79 € TTC)</w:t>
            </w:r>
          </w:p>
        </w:tc>
        <w:tc>
          <w:tcPr>
            <w:tcW w:type="dxa" w:w="171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Family (129 € TTC)</w:t>
            </w:r>
          </w:p>
        </w:tc>
      </w:tr>
      <w:tr>
        <w:tc>
          <w:tcPr>
            <w:tcW w:type="dxa" w:w="42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Prix HT (TVA 20 %)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24,17 €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65,83 €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107,50 €</w:t>
            </w:r>
          </w:p>
        </w:tc>
      </w:tr>
      <w:tr>
        <w:tc>
          <w:tcPr>
            <w:tcW w:type="dxa" w:w="42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Missions visibles par mois (hors socle M0)</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21,5</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57,0</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78,2</w:t>
            </w:r>
          </w:p>
        </w:tc>
      </w:tr>
      <w:tr>
        <w:tc>
          <w:tcPr>
            <w:tcW w:type="dxa" w:w="42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Missions par mois dans le modèle 36 mois</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20</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60</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90</w:t>
            </w:r>
          </w:p>
        </w:tc>
      </w:tr>
      <w:tr>
        <w:tc>
          <w:tcPr>
            <w:tcW w:type="dxa" w:w="42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Coût IA, outils et support (ce classeur)</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0,62 €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4,16 €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7,39 €</w:t>
            </w:r>
          </w:p>
        </w:tc>
      </w:tr>
      <w:tr>
        <w:tc>
          <w:tcPr>
            <w:tcW w:type="dxa" w:w="42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Hébergement, stockage, connecteurs (par abonné)</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1,50 €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1,50 €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1,50 €</w:t>
            </w:r>
          </w:p>
        </w:tc>
      </w:tr>
      <w:tr>
        <w:tc>
          <w:tcPr>
            <w:tcW w:type="dxa" w:w="42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Frais de paiement</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1,03 €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2,38 €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3,73 €</w:t>
            </w:r>
          </w:p>
        </w:tc>
      </w:tr>
      <w:tr>
        <w:tc>
          <w:tcPr>
            <w:tcW w:type="dxa" w:w="42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Coût variable total HT</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3,16 €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8,05 €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12,62 €</w:t>
            </w:r>
          </w:p>
        </w:tc>
      </w:tr>
      <w:tr>
        <w:tc>
          <w:tcPr>
            <w:tcW w:type="dxa" w:w="42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Modèle 36 mois, central : missions × 0,18 € + 1,50 € + 3,00 €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8,10 €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15,30 €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20,70 €</w:t>
            </w:r>
          </w:p>
        </w:tc>
      </w:tr>
      <w:tr>
        <w:tc>
          <w:tcPr>
            <w:tcW w:type="dxa" w:w="42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Modèle 36 mois, prudent : missions × 0,30 € + 2,00 € + 5,00 €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13,00 €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25,00 €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34,00 €</w:t>
            </w:r>
          </w:p>
        </w:tc>
      </w:tr>
      <w:tr>
        <w:tc>
          <w:tcPr>
            <w:tcW w:type="dxa" w:w="42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Coût moyen par mission visible (ce classeur, socle réparti)</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0,029 €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0,073 €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0,094 €</w:t>
            </w:r>
          </w:p>
        </w:tc>
      </w:tr>
      <w:tr>
        <w:tc>
          <w:tcPr>
            <w:tcW w:type="dxa" w:w="42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Contribution par abonné (prix HT − coût variable)</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21,01 €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57,79 €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94,88 €</w:t>
            </w:r>
          </w:p>
        </w:tc>
      </w:tr>
      <w:tr>
        <w:tc>
          <w:tcPr>
            <w:tcW w:type="dxa" w:w="42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Marge variable</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87 %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88 %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88 %</w:t>
            </w:r>
          </w:p>
        </w:tc>
      </w:tr>
      <w:tr>
        <w:tc>
          <w:tcPr>
            <w:tcW w:type="dxa" w:w="42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Hypothèse Finance H03</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18,00 €</w:t>
            </w:r>
          </w:p>
        </w:tc>
        <w:tc>
          <w:tcPr>
            <w:tcW w:type="dxa" w:w="1717"/>
            <w:tcMar>
              <w:top w:w="60" w:type="dxa"/>
              <w:bottom w:w="60" w:type="dxa"/>
              <w:start w:w="90" w:type="dxa"/>
              <w:end w:w="90" w:type="dxa"/>
            </w:tcMar>
            <w:tcBorders>
              <w:top w:val="nil"/>
              <w:left w:val="nil"/>
              <w:bottom w:val="single" w:sz="4" w:color="E4DDD2"/>
              <w:right w:val="nil"/>
            </w:tcBorders>
          </w:tcPr>
          <w:p>
            <w:pPr>
              <w:spacing w:after="0" w:line="252" w:lineRule="auto"/>
            </w:pPr>
            <w:r/>
          </w:p>
        </w:tc>
      </w:tr>
    </w:tbl>
    <w:p>
      <w:pPr>
        <w:spacing w:after="40"/>
      </w:pPr>
    </w:p>
    <w:p>
      <w:r>
        <w:t>Le classeur donne 8,05 € de coût variable pour Premium là où Finance a posé 18 € et le modèle 36 mois 15,30 € en central et 25 € en prudent. L'écart n'est pas une économie acquise : il mesure ce que la marge de prudence couvre. Elle couvre un doublement des prix des modèles et des outils, une hausse de moitié des reprises et un triplement du support, cumulés (16,38 €). Elle ne couvre pas un usage des réservations trois fois supérieur à l'hypothèse combiné à un coût double (20,65 €), ce qui est précisément le cas d'un produit qui marche trop bien chez des utilisateurs qui délèguent tout : d'où les plafonds du § 5.5. Recommandation à Finance : garder H03 à 18 € et le modèle à 0,18 € par mission jusqu'aux mesures de décembre, et ajouter au registre les hypothèses H09 à H16 du § 9 pour que l'écart soit visible et daté.</w:t>
      </w:r>
    </w:p>
    <w:p>
      <w:r>
        <w:t>Sensibilités du coût variable Premium (onglet Sensibilité) : prix des modèles × 2 9,95 € ; prix des modèles × 0,5 7,10 € ; sans cache de contexte 8,71 € ; outils × 2 8,70 € ; reprises +50 % 9,32 € ; support × 3 11,28 € ; dollar +10 % 8,30 € ; tout en frontière 9,95 € ; réservations : volume × 3 et coût × 2 20,65 € ; cumul défavorable 16,38 €.</w:t>
      </w:r>
    </w:p>
    <w:p>
      <w:pPr>
        <w:pStyle w:val="Heading2"/>
      </w:pPr>
      <w:r>
        <w:t>5.4 Ce que le pilote doit mesurer, et dans quel ordre</w:t>
      </w:r>
    </w:p>
    <w:p>
      <w:r>
        <w:t>Dans l'ordre : d'abord le briefing (M1) et le socle (M0), parce qu'ils tournent chaque jour et que leur coût est le plancher de l'abonnement, et le déplacement (M5), parce que c'est la mission la plus coûteuse en jetons ; tous trois sur les comptes de l'équipe entre le 10 novembre et le 3 décembre, en mode test OAuth (jusqu'à 100 comptes sans vérification). Ensuite les deux réservations (M3, M4) avant le 19 décembre, sur une liste fermée de plateformes (TheFork, Zenchef, Planity, Treatwell, les sites de garages Norauto et Feu Vert) : c'est là que l'estimation est la plus fragile, en jetons par étape, en minutes de navigateur et surtout en taux de réussite. Les six autres missions se mesurent pendant le pilote de janvier.</w:t>
      </w:r>
    </w:p>
    <w:p>
      <w:r>
        <w:t xml:space="preserve">Pour chaque mission, trente exécutions au moins avant de remplacer une hypothèse ; pour chaque exécution, les jetons par appel et par palier, le nombre d'étapes, les reprises, l'issue (réussie, réussie avec correction, échouée, reprise par un humain), la durée et les minutes de support. Ces mesures sont automatiques dès lors que la passerelle modèles et l'orchestrateur tracent tout (Langfuse) : c'est pourquoi la passerelle est construite avant les missions. Isaac publie chaque semaine le tableau coût, réussite, exécutions par mission dans </w:t>
      </w:r>
      <w:r>
        <w:rPr>
          <w:rFonts w:ascii="Consolas" w:hAnsi="Consolas" w:eastAsia="Consolas"/>
        </w:rPr>
        <w:t>6 OPERATIONS/TECHNIQUE/</w:t>
      </w:r>
      <w:r>
        <w:t xml:space="preserve"> ; Sébastien remplace les cellules bleues. Le protocole complet est en annexe B.</w:t>
      </w:r>
    </w:p>
    <w:p>
      <w:pPr>
        <w:pStyle w:val="Heading2"/>
      </w:pPr>
      <w:r>
        <w:t>5.5 Protections contre les coûts excessifs</w:t>
      </w:r>
    </w:p>
    <w:tbl>
      <w:tblPr>
        <w:tblW w:type="auto" w:w="0"/>
        <w:jc w:val="center"/>
        <w:tblLayout w:type="fixed"/>
        <w:tblLook w:firstColumn="1" w:firstRow="1" w:lastColumn="0" w:lastRow="0" w:noHBand="0" w:noVBand="1" w:val="04A0"/>
      </w:tblPr>
      <w:tblGrid>
        <w:gridCol w:w="1751"/>
        <w:gridCol w:w="4765"/>
        <w:gridCol w:w="1059"/>
        <w:gridCol w:w="954"/>
        <w:gridCol w:w="883"/>
      </w:tblGrid>
      <w:tr>
        <w:tc>
          <w:tcPr>
            <w:tcW w:type="dxa" w:w="175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Protection</w:t>
            </w:r>
          </w:p>
        </w:tc>
        <w:tc>
          <w:tcPr>
            <w:tcW w:type="dxa" w:w="476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Règle</w:t>
            </w:r>
          </w:p>
        </w:tc>
        <w:tc>
          <w:tcPr>
            <w:tcW w:type="dxa" w:w="105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Personal</w:t>
            </w:r>
          </w:p>
        </w:tc>
        <w:tc>
          <w:tcPr>
            <w:tcW w:type="dxa" w:w="95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Premium</w:t>
            </w:r>
          </w:p>
        </w:tc>
        <w:tc>
          <w:tcPr>
            <w:tcW w:type="dxa" w:w="88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Family</w:t>
            </w:r>
          </w:p>
        </w:tc>
      </w:tr>
      <w:tr>
        <w:tc>
          <w:tcPr>
            <w:tcW w:type="dxa" w:w="17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Plafond de missions par mois</w:t>
            </w:r>
          </w:p>
        </w:tc>
        <w:tc>
          <w:tcPr>
            <w:tcW w:type="dxa" w:w="4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Au-delà, le majordome propose mais n'exécute plus les missions C jusqu'au mois suivant ; l'utilisateur est prévenu à 80 %.</w:t>
            </w:r>
          </w:p>
        </w:tc>
        <w:tc>
          <w:tcPr>
            <w:tcW w:type="dxa" w:w="10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30</w:t>
            </w:r>
          </w:p>
        </w:tc>
        <w:tc>
          <w:tcPr>
            <w:tcW w:type="dxa" w:w="95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90</w:t>
            </w:r>
          </w:p>
        </w:tc>
        <w:tc>
          <w:tcPr>
            <w:tcW w:type="dxa" w:w="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150</w:t>
            </w:r>
          </w:p>
        </w:tc>
      </w:tr>
      <w:tr>
        <w:tc>
          <w:tcPr>
            <w:tcW w:type="dxa" w:w="17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Plafond de navigateur piloté (minutes par mois)</w:t>
            </w:r>
          </w:p>
        </w:tc>
        <w:tc>
          <w:tcPr>
            <w:tcW w:type="dxa" w:w="4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Les missions 3, 4 et 10 consomment le quota ; au plafond, le majordome prépare la réservation et laisse l'utilisateur cliquer.</w:t>
            </w:r>
          </w:p>
        </w:tc>
        <w:tc>
          <w:tcPr>
            <w:tcW w:type="dxa" w:w="10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w:t>
            </w:r>
          </w:p>
        </w:tc>
        <w:tc>
          <w:tcPr>
            <w:tcW w:type="dxa" w:w="95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60</w:t>
            </w:r>
          </w:p>
        </w:tc>
        <w:tc>
          <w:tcPr>
            <w:tcW w:type="dxa" w:w="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120</w:t>
            </w:r>
          </w:p>
        </w:tc>
      </w:tr>
      <w:tr>
        <w:tc>
          <w:tcPr>
            <w:tcW w:type="dxa" w:w="17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Budget de jetons par mission</w:t>
            </w:r>
          </w:p>
        </w:tc>
        <w:tc>
          <w:tcPr>
            <w:tcW w:type="dxa" w:w="4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Chaque mission a un budget de jetons et d'étapes ; dépassement = arrêt propre, message à l'utilisateur, ligne au journal.</w:t>
            </w:r>
          </w:p>
        </w:tc>
        <w:tc>
          <w:tcPr>
            <w:tcW w:type="dxa" w:w="10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200 k</w:t>
            </w:r>
          </w:p>
        </w:tc>
        <w:tc>
          <w:tcPr>
            <w:tcW w:type="dxa" w:w="95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400 k</w:t>
            </w:r>
          </w:p>
        </w:tc>
        <w:tc>
          <w:tcPr>
            <w:tcW w:type="dxa" w:w="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400 k</w:t>
            </w:r>
          </w:p>
        </w:tc>
      </w:tr>
      <w:tr>
        <w:tc>
          <w:tcPr>
            <w:tcW w:type="dxa" w:w="17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Escalade vers le modèle frontière</w:t>
            </w:r>
          </w:p>
        </w:tc>
        <w:tc>
          <w:tcPr>
            <w:tcW w:type="dxa" w:w="4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Seulement après deux échecs du modèle moyen, et jamais pour le socle.</w:t>
            </w:r>
          </w:p>
        </w:tc>
        <w:tc>
          <w:tcPr>
            <w:tcW w:type="dxa" w:w="10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non</w:t>
            </w:r>
          </w:p>
        </w:tc>
        <w:tc>
          <w:tcPr>
            <w:tcW w:type="dxa" w:w="95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10 %</w:t>
            </w:r>
          </w:p>
        </w:tc>
        <w:tc>
          <w:tcPr>
            <w:tcW w:type="dxa" w:w="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10 %</w:t>
            </w:r>
          </w:p>
        </w:tc>
      </w:tr>
      <w:tr>
        <w:tc>
          <w:tcPr>
            <w:tcW w:type="dxa" w:w="17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Alerte de coût par abonné</w:t>
            </w:r>
          </w:p>
        </w:tc>
        <w:tc>
          <w:tcPr>
            <w:tcW w:type="dxa" w:w="4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Si le coût IA et outils du mois dépasse 25 % du prix HT, alerte interne ; à 40 %, revue manuelle et proposition de changement d'offre.</w:t>
            </w:r>
          </w:p>
        </w:tc>
        <w:tc>
          <w:tcPr>
            <w:tcW w:type="dxa" w:w="10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25 % / 40 %</w:t>
            </w:r>
          </w:p>
        </w:tc>
        <w:tc>
          <w:tcPr>
            <w:tcW w:type="dxa" w:w="95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25 % / 40 %</w:t>
            </w:r>
          </w:p>
        </w:tc>
        <w:tc>
          <w:tcPr>
            <w:tcW w:type="dxa" w:w="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25 % / 40 %</w:t>
            </w:r>
          </w:p>
        </w:tc>
      </w:tr>
      <w:tr>
        <w:tc>
          <w:tcPr>
            <w:tcW w:type="dxa" w:w="17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Coupe-circuit global</w:t>
            </w:r>
          </w:p>
        </w:tc>
        <w:tc>
          <w:tcPr>
            <w:tcW w:type="dxa" w:w="4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Si la dépense API journalière dépasse 3 fois la moyenne glissante sur 7 jours, les missions C sont suspendues et l'astreinte est prévenue.</w:t>
            </w:r>
          </w:p>
        </w:tc>
        <w:tc>
          <w:tcPr>
            <w:tcW w:type="dxa" w:w="10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oui</w:t>
            </w:r>
          </w:p>
        </w:tc>
        <w:tc>
          <w:tcPr>
            <w:tcW w:type="dxa" w:w="95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oui</w:t>
            </w:r>
          </w:p>
        </w:tc>
        <w:tc>
          <w:tcPr>
            <w:tcW w:type="dxa" w:w="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oui</w:t>
            </w:r>
          </w:p>
        </w:tc>
      </w:tr>
      <w:tr>
        <w:tc>
          <w:tcPr>
            <w:tcW w:type="dxa" w:w="17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Clés et quotas fournisseurs</w:t>
            </w:r>
          </w:p>
        </w:tc>
        <w:tc>
          <w:tcPr>
            <w:tcW w:type="dxa" w:w="4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Clés par environnement, quotas durs chez chaque fournisseur (plafond mensuel en dollars), rotation trimestrielle.</w:t>
            </w:r>
          </w:p>
        </w:tc>
        <w:tc>
          <w:tcPr>
            <w:tcW w:type="dxa" w:w="105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oui</w:t>
            </w:r>
          </w:p>
        </w:tc>
        <w:tc>
          <w:tcPr>
            <w:tcW w:type="dxa" w:w="95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oui</w:t>
            </w:r>
          </w:p>
        </w:tc>
        <w:tc>
          <w:tcPr>
            <w:tcW w:type="dxa" w:w="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oui</w:t>
            </w:r>
          </w:p>
        </w:tc>
      </w:tr>
    </w:tbl>
    <w:p>
      <w:pPr>
        <w:spacing w:after="40"/>
      </w:pPr>
    </w:p>
    <w:p>
      <w:r>
        <w:t>Au plafond, le coût IA et outils d'un abonné atteint au plus 0,59 € (Personal), 8,81 € (Premium) et 17,02 € (Family), soit 2 %, 13 % et 16 % du prix HT : même un utilisateur qui épuise ses quotas reste rentable en coût variable. Ces plafonds sont des réglages de produit, visibles dans l'interface et modifiables sans déploiement ; ils ne sont pas des arguments commerciaux et ne figurent pas dans les CGV tant que le pilote ne les a pas validés. Le coupe-circuit journalier et les quotas chez les fournisseurs protègent contre un bug ou une injection qui ferait boucler des missions, le seul cas où un coût peut devenir illimité.</w:t>
      </w:r>
    </w:p>
    <w:p>
      <w:r>
        <w:br w:type="page"/>
      </w:r>
    </w:p>
    <w:p>
      <w:pPr>
        <w:pStyle w:val="Heading1"/>
        <w:pBdr>
          <w:bottom w:val="single" w:sz="10" w:space="4" w:color="F0916A"/>
        </w:pBdr>
      </w:pPr>
      <w:r>
        <w:t>6. Plan de développement</w:t>
      </w:r>
    </w:p>
    <w:p>
      <w:pPr>
        <w:pStyle w:val="Heading2"/>
      </w:pPr>
      <w:r>
        <w:t>6.1 Chantiers, profils et jours</w:t>
      </w:r>
    </w:p>
    <w:tbl>
      <w:tblPr>
        <w:tblW w:type="auto" w:w="0"/>
        <w:jc w:val="center"/>
        <w:tblLayout w:type="fixed"/>
        <w:tblLook w:firstColumn="1" w:firstRow="1" w:lastColumn="0" w:lastRow="0" w:noHBand="0" w:noVBand="1" w:val="04A0"/>
      </w:tblPr>
      <w:tblGrid>
        <w:gridCol w:w="2220"/>
        <w:gridCol w:w="1646"/>
        <w:gridCol w:w="1175"/>
        <w:gridCol w:w="1175"/>
        <w:gridCol w:w="3197"/>
      </w:tblGrid>
      <w:tr>
        <w:tc>
          <w:tcPr>
            <w:tcW w:type="dxa" w:w="222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Chantier</w:t>
            </w:r>
          </w:p>
        </w:tc>
        <w:tc>
          <w:tcPr>
            <w:tcW w:type="dxa" w:w="164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Profil</w:t>
            </w:r>
          </w:p>
        </w:tc>
        <w:tc>
          <w:tcPr>
            <w:tcW w:type="dxa" w:w="117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Jours Lean</w:t>
            </w:r>
          </w:p>
        </w:tc>
        <w:tc>
          <w:tcPr>
            <w:tcW w:type="dxa" w:w="117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Jours Confort</w:t>
            </w:r>
          </w:p>
        </w:tc>
        <w:tc>
          <w:tcPr>
            <w:tcW w:type="dxa" w:w="319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Dépendances et notes</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W0 Architecture, choix techniques, revue de sécurité</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Fondateur, architecture et sécurité (Malik)</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15</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15</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Avant tout code : schéma de données, politique A/C/X, mandats, journal. Dépendance : D-01 (qui continue) et D-02 (nom, domaine).</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W1 Socle : comptes, OAuth Google, ingestion, mémoire, journal</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Développeur full-stack senior (externe)</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18</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15</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Connecteur Gmail/Agenda/Drive en périmètres restreints ; chiffrement des jetons OAuth ; file de missions durable (PostgreSQL).</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W2 Passerelle modèles, orchestrateur, moteur de politique</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Ingénieur IA / LLM (externe)</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16</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14</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Routage petit/moyen/frontière, cache de contexte, budgets par mission, traces de coût. Dépendance : W1.</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W3 Missions de lecture et de rédaction (M0, M1, M2, M6, M9)</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Développeur full-stack senior (externe)</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14</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12</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Premières missions livrées au pilote ; mesurent le coût du socle et du briefing.</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W4 Missions de coordination et d'inventaire (M7, M8, M11)</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Développeur full-stack senior (externe)</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10</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8</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Calendriers partagés, inventaire des abonnements, activation.</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W5 Missions à navigateur piloté (M3, M4, M10)</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Ingénieur IA / LLM (externe)</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18</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16</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Le chantier le plus risqué : sites sans API, CAPTCHA, conditions d'utilisation. Mesurer M3 et M4 avant d'investir davantage.</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W6 Mission de recherche (M5)</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Ingénieur IA / LLM (externe)</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6</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5</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Recherche, lecture de pages, synthèse chiffrée ; pas de réservation.</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W7 Conception UX : onboarding, écran de validation, journal, briefing</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Product designer UX/UI (externe)</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12</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15</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Maquettes puis tests avec les 10 pilotes.</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W8 Application web (PWA) : front, notifications, facturation Stripe</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Développeur full-stack senior (externe)</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20</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18</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Dépendance : W7 ; PWA plutôt que magasins d'applications pour le MVP.</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W9 Sécurité : pentest boîte grise (application et API) et contre-test</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Pentest application et API, jour d'auditeur (prestataire)</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9</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10</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Avant l'ouverture au-delà des 10 pilotes ; 8 000 à 12 000 € plus contre-test selon le marché 2026 ; devis à obtenir.</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W10 RGPD : AIPD, registre, politiques, charte agents</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Consultant RGPD / AIPD (externe)</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5</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6</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Avec Tiffany ; l'AIPD est obligatoire avant le pilote (lecture de courriels).</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W11 Vérification OAuth Google et évaluation CASA</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Fondateur, architecture et sécurité (Malik)</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6</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6</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Dossier, vidéo de démonstration, domaine vérifié, politique de confidentialité publiée ; délai externe de 4 à 8 semaines, à lancer en janvier.</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W12 Exploitation : hébergement, supervision, sauvegardes, astreinte</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Fondateur, exploitation et support (Isaac)</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10</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10</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Scaleway Paris ; procédures d'incident et de violation de données.</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W13 Recette, pilote, support des 10 pilotes, mesures</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Fondateur, produit et recette (Steve)</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25</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25</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Protocole de mesure des missions 1, 5 puis 3, 4 ; rapport de pilote pour la porte J+90.</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W14 Second développeur (variante Confort seulement)</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Développeur full-stack senior (externe)</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40</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Parallélise W3 à W5 et W8 ; raccourcit le calendrier d'environ six semaines.</w:t>
            </w:r>
          </w:p>
        </w:tc>
      </w:tr>
      <w:tr>
        <w:tc>
          <w:tcPr>
            <w:tcW w:type="dxa" w:w="2220"/>
            <w:tcMar>
              <w:top w:w="60" w:type="dxa"/>
              <w:bottom w:w="60" w:type="dxa"/>
              <w:start w:w="90" w:type="dxa"/>
              <w:end w:w="90" w:type="dxa"/>
            </w:tcMar>
            <w:tcBorders>
              <w:top w:val="nil"/>
              <w:left w:val="nil"/>
              <w:bottom w:val="single" w:sz="4" w:color="E4DDD2"/>
              <w:right w:val="nil"/>
            </w:tcBorders>
          </w:tcPr>
          <w:p>
            <w:pPr>
              <w:spacing w:after="0" w:line="252" w:lineRule="auto"/>
            </w:pPr>
            <w:r/>
            <w:r>
              <w:rPr>
                <w:b/>
                <w:color w:val="201C19"/>
                <w:sz w:val="17"/>
              </w:rPr>
              <w:t>Total</w:t>
            </w:r>
          </w:p>
        </w:tc>
        <w:tc>
          <w:tcPr>
            <w:tcW w:type="dxa" w:w="1646"/>
            <w:tcMar>
              <w:top w:w="60" w:type="dxa"/>
              <w:bottom w:w="60" w:type="dxa"/>
              <w:start w:w="90" w:type="dxa"/>
              <w:end w:w="90" w:type="dxa"/>
            </w:tcMar>
            <w:tcBorders>
              <w:top w:val="nil"/>
              <w:left w:val="nil"/>
              <w:bottom w:val="single" w:sz="4" w:color="E4DDD2"/>
              <w:right w:val="nil"/>
            </w:tcBorders>
          </w:tcPr>
          <w:p>
            <w:pPr>
              <w:spacing w:after="0" w:line="252" w:lineRule="auto"/>
            </w:pPr>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b/>
                <w:color w:val="201C19"/>
                <w:sz w:val="17"/>
              </w:rPr>
              <w:t>184</w:t>
            </w:r>
            <w:r>
              <w:rPr>
                <w:color w:val="201C19"/>
                <w:sz w:val="17"/>
              </w:rPr>
              <w:t xml:space="preserve"> dont 56 fondateurs</w:t>
            </w:r>
          </w:p>
        </w:tc>
        <w:tc>
          <w:tcPr>
            <w:tcW w:type="dxa" w:w="1175"/>
            <w:tcMar>
              <w:top w:w="60" w:type="dxa"/>
              <w:bottom w:w="60" w:type="dxa"/>
              <w:start w:w="90" w:type="dxa"/>
              <w:end w:w="90" w:type="dxa"/>
            </w:tcMar>
            <w:tcBorders>
              <w:top w:val="nil"/>
              <w:left w:val="nil"/>
              <w:bottom w:val="single" w:sz="4" w:color="E4DDD2"/>
              <w:right w:val="nil"/>
            </w:tcBorders>
          </w:tcPr>
          <w:p>
            <w:pPr>
              <w:spacing w:after="0" w:line="252" w:lineRule="auto"/>
            </w:pPr>
            <w:r/>
            <w:r>
              <w:rPr>
                <w:b/>
                <w:color w:val="201C19"/>
                <w:sz w:val="17"/>
              </w:rPr>
              <w:t>215</w:t>
            </w:r>
            <w:r>
              <w:rPr>
                <w:color w:val="201C19"/>
                <w:sz w:val="17"/>
              </w:rPr>
              <w:t xml:space="preserve"> dont 56 fondateurs</w:t>
            </w:r>
          </w:p>
        </w:tc>
        <w:tc>
          <w:tcPr>
            <w:tcW w:type="dxa" w:w="3197"/>
            <w:tcMar>
              <w:top w:w="60" w:type="dxa"/>
              <w:bottom w:w="60" w:type="dxa"/>
              <w:start w:w="90" w:type="dxa"/>
              <w:end w:w="90" w:type="dxa"/>
            </w:tcMar>
            <w:tcBorders>
              <w:top w:val="nil"/>
              <w:left w:val="nil"/>
              <w:bottom w:val="single" w:sz="4" w:color="E4DDD2"/>
              <w:right w:val="nil"/>
            </w:tcBorders>
          </w:tcPr>
          <w:p>
            <w:pPr>
              <w:spacing w:after="0" w:line="252" w:lineRule="auto"/>
            </w:pPr>
            <w:r/>
          </w:p>
        </w:tc>
      </w:tr>
    </w:tbl>
    <w:p>
      <w:pPr>
        <w:spacing w:after="40"/>
      </w:pPr>
    </w:p>
    <w:p>
      <w:r>
        <w:t>La variante Lean confie les 128 jours externes à un développeur senior full-stack à l'aise avec les API de modèles, un designer pour douze jours, un pentest et un consultant RGPD ; Malik tient l'architecture et la revue de code, Steve le produit et la recette, Isaac l'exploitation. La variante Confort ajoute un second développeur quarante jours et parallélise les chantiers de missions : 159 jours externes, six semaines de moins au calendrier. Les jours sont des estimations d'ingénierie, à confronter aux devis ; l'expérience des projets comparables dit que les chantiers de missions à navigateur piloté (W5) débordent, pas les autres.</w:t>
      </w:r>
    </w:p>
    <w:p>
      <w:pPr>
        <w:pStyle w:val="Heading2"/>
      </w:pPr>
      <w:r>
        <w:t>6.2 Calendrier et dépendances</w:t>
      </w:r>
    </w:p>
    <w:tbl>
      <w:tblPr>
        <w:tblW w:type="auto" w:w="0"/>
        <w:jc w:val="center"/>
        <w:tblLayout w:type="fixed"/>
        <w:tblLook w:firstColumn="1" w:firstRow="1" w:lastColumn="0" w:lastRow="0" w:noHBand="0" w:noVBand="1" w:val="04A0"/>
      </w:tblPr>
      <w:tblGrid>
        <w:gridCol w:w="1233"/>
        <w:gridCol w:w="4528"/>
        <w:gridCol w:w="1584"/>
        <w:gridCol w:w="2068"/>
      </w:tblGrid>
      <w:tr>
        <w:tc>
          <w:tcPr>
            <w:tcW w:type="dxa" w:w="123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Quand</w:t>
            </w:r>
          </w:p>
        </w:tc>
        <w:tc>
          <w:tcPr>
            <w:tcW w:type="dxa" w:w="452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Quoi</w:t>
            </w:r>
          </w:p>
        </w:tc>
        <w:tc>
          <w:tcPr>
            <w:tcW w:type="dxa" w:w="158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Qui</w:t>
            </w:r>
          </w:p>
        </w:tc>
        <w:tc>
          <w:tcPr>
            <w:tcW w:type="dxa" w:w="206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Dépend de</w:t>
            </w:r>
          </w:p>
        </w:tc>
      </w:tr>
      <w:tr>
        <w:tc>
          <w:tcPr>
            <w:tcW w:type="dxa" w:w="12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Semaine du 3 novembre</w:t>
            </w:r>
          </w:p>
        </w:tc>
        <w:tc>
          <w:tcPr>
            <w:tcW w:type="dxa" w:w="45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D-01 au registre ; W0 architecture et schéma de données ; demandes de devis (développeur, designer, pentest, AIPD) ; recherche d'antériorité et dépôt du nom (D-02) ; domaine réservé</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Les six ; Malik ; Alice</w:t>
            </w:r>
          </w:p>
        </w:tc>
        <w:tc>
          <w:tcPr>
            <w:tcW w:type="dxa" w:w="20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D-01 avant tout devis : aucun prestataire ne contracte avec un projet sans personne morale ou sans mandataire désigné</w:t>
            </w:r>
          </w:p>
        </w:tc>
      </w:tr>
      <w:tr>
        <w:tc>
          <w:tcPr>
            <w:tcW w:type="dxa" w:w="12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10 novembre au 3 décembre</w:t>
            </w:r>
          </w:p>
        </w:tc>
        <w:tc>
          <w:tcPr>
            <w:tcW w:type="dxa" w:w="45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Prototype jetable du socle, du briefing et du déplacement (M0, M1, M5) sur les comptes de l'équipe, en mode test OAuth ; mesures de jetons, reprises, réussite ; politique de confidentialité publiée sur le domaine</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Malik, Steve ; Tiffany</w:t>
            </w:r>
          </w:p>
        </w:tc>
        <w:tc>
          <w:tcPr>
            <w:tcW w:type="dxa" w:w="20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Comptes Google de test (jusqu'à 100 sans vérification)</w:t>
            </w:r>
          </w:p>
        </w:tc>
      </w:tr>
      <w:tr>
        <w:tc>
          <w:tcPr>
            <w:tcW w:type="dxa" w:w="12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Mi-novembre</w:t>
            </w:r>
          </w:p>
        </w:tc>
        <w:tc>
          <w:tcPr>
            <w:tcW w:type="dxa" w:w="45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Signature du développeur externe ; W1 socle de production puis W2 passerelle et orchestrateur</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Malik</w:t>
            </w:r>
          </w:p>
        </w:tc>
        <w:tc>
          <w:tcPr>
            <w:tcW w:type="dxa" w:w="20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Devis et D-01</w:t>
            </w:r>
          </w:p>
        </w:tc>
      </w:tr>
      <w:tr>
        <w:tc>
          <w:tcPr>
            <w:tcW w:type="dxa" w:w="12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4 au 19 décembre</w:t>
            </w:r>
          </w:p>
        </w:tc>
        <w:tc>
          <w:tcPr>
            <w:tcW w:type="dxa" w:w="45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Prototype des réservations (M3, M4) sur cinq plateformes ; mesures ; revue des conditions d'utilisation des plateformes ; AIPD rédigée ; dossier de vérification OAuth préparé (vidéo de démonstration, justification des périmètres)</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Steve, Malik ; Tiffany</w:t>
            </w:r>
          </w:p>
        </w:tc>
        <w:tc>
          <w:tcPr>
            <w:tcW w:type="dxa" w:w="20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Prototype M0 ; domaine et politique publiée</w:t>
            </w:r>
          </w:p>
        </w:tc>
      </w:tr>
      <w:tr>
        <w:tc>
          <w:tcPr>
            <w:tcW w:type="dxa" w:w="12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5 janvier</w:t>
            </w:r>
          </w:p>
        </w:tc>
        <w:tc>
          <w:tcPr>
            <w:tcW w:type="dxa" w:w="45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Dépôt du dossier de vérification OAuth Google (périmètres restreints Gmail) ; W3 missions de lecture et de rédaction livrées au pilote</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Malik</w:t>
            </w:r>
          </w:p>
        </w:tc>
        <w:tc>
          <w:tcPr>
            <w:tcW w:type="dxa" w:w="20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Dossier complet ; W1 et W2</w:t>
            </w:r>
          </w:p>
        </w:tc>
      </w:tr>
      <w:tr>
        <w:tc>
          <w:tcPr>
            <w:tcW w:type="dxa" w:w="12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5 au 30 janvier</w:t>
            </w:r>
          </w:p>
        </w:tc>
        <w:tc>
          <w:tcPr>
            <w:tcW w:type="dxa" w:w="45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Dix pilotes payants sur le socle de production et les missions de lecture ; réservations en mode assisté (le majordome prépare, l'utilisateur termine) tant que M3 et M4 n'ont pas leurs mesures ; W7 conception UX testée avec les pilotes</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Steve, Alice, Isaac</w:t>
            </w:r>
          </w:p>
        </w:tc>
        <w:tc>
          <w:tcPr>
            <w:tcW w:type="dxa" w:w="20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Pilotes recrutés par Ventes ; AIPD validée par Tiffany avant la première boîte réelle</w:t>
            </w:r>
          </w:p>
        </w:tc>
      </w:tr>
      <w:tr>
        <w:tc>
          <w:tcPr>
            <w:tcW w:type="dxa" w:w="12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1er février</w:t>
            </w:r>
          </w:p>
        </w:tc>
        <w:tc>
          <w:tcPr>
            <w:tcW w:type="dxa" w:w="45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D-05 go ou stop sur les mesures ; mémo de décision</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 Board</w:t>
            </w:r>
          </w:p>
        </w:tc>
        <w:tc>
          <w:tcPr>
            <w:tcW w:type="dxa" w:w="20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Rapport de pilote</w:t>
            </w:r>
          </w:p>
        </w:tc>
      </w:tr>
      <w:tr>
        <w:tc>
          <w:tcPr>
            <w:tcW w:type="dxa" w:w="12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Février à avril (si go)</w:t>
            </w:r>
          </w:p>
        </w:tc>
        <w:tc>
          <w:tcPr>
            <w:tcW w:type="dxa" w:w="45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W4, W5, W6 missions restantes ; W8 application et facturation ; vérification OAuth obtenue (février ou mars) ; évaluation CASA lancée dès l'accord de principe ; W9 pentest en avril ; W10 registre et procédures</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Développeur(s), Malik, Tiffany</w:t>
            </w:r>
          </w:p>
        </w:tc>
        <w:tc>
          <w:tcPr>
            <w:tcW w:type="dxa" w:w="20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Vérification Google : chemin critique ; sans elle, pas d'ouverture au-delà de 100 comptes</w:t>
            </w:r>
          </w:p>
        </w:tc>
      </w:tr>
      <w:tr>
        <w:tc>
          <w:tcPr>
            <w:tcW w:type="dxa" w:w="12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Mai 2027 (M7)</w:t>
            </w:r>
          </w:p>
        </w:tc>
        <w:tc>
          <w:tcPr>
            <w:tcW w:type="dxa" w:w="45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Ouverture commerciale limitée (liste d'attente), variante Lean ; mi-mars à mi-avril en variante Confort</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Les six</w:t>
            </w:r>
          </w:p>
        </w:tc>
        <w:tc>
          <w:tcPr>
            <w:tcW w:type="dxa" w:w="20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Pentest corrigé, CASA en cours ou obtenue, CGV V2 signées</w:t>
            </w:r>
          </w:p>
        </w:tc>
      </w:tr>
    </w:tbl>
    <w:p>
      <w:pPr>
        <w:spacing w:after="40"/>
      </w:pPr>
    </w:p>
    <w:p>
      <w:r>
        <w:t>Deux chemins critiques, aucun des deux n'est le code. Le premier est administratif : D-01 conditionne les devis, le domaine conditionne la politique de confidentialité publiée, qui conditionne le dossier Google, qui conditionne tout usage au-delà de 100 comptes. Le second est une inconnue de produit : si les réservations ne tiennent pas leurs mesures en décembre, le pilote de janvier se fait en mode assisté et la décision du 1er février porte sur un majordome qui prépare et rappelle, pas sur un majordome qui agit. Ce n'est pas un échec du plan, c'est ce que le plan est fait pour apprendre avant de dépenser.</w:t>
      </w:r>
    </w:p>
    <w:p>
      <w:pPr>
        <w:pStyle w:val="Heading2"/>
      </w:pPr>
      <w:r>
        <w:t>6.3 Budget MVP et comparaison avec le Business plan Lean V1</w:t>
      </w:r>
    </w:p>
    <w:tbl>
      <w:tblPr>
        <w:tblW w:type="auto" w:w="0"/>
        <w:jc w:val="center"/>
        <w:tblLayout w:type="fixed"/>
        <w:tblLook w:firstColumn="1" w:firstRow="1" w:lastColumn="0" w:lastRow="0" w:noHBand="0" w:noVBand="1" w:val="04A0"/>
      </w:tblPr>
      <w:tblGrid>
        <w:gridCol w:w="4439"/>
        <w:gridCol w:w="1628"/>
        <w:gridCol w:w="1628"/>
        <w:gridCol w:w="1718"/>
      </w:tblGrid>
      <w:tr>
        <w:tc>
          <w:tcPr>
            <w:tcW w:type="dxa" w:w="443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Poste</w:t>
            </w:r>
          </w:p>
        </w:tc>
        <w:tc>
          <w:tcPr>
            <w:tcW w:type="dxa" w:w="162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Lean</w:t>
            </w:r>
          </w:p>
        </w:tc>
        <w:tc>
          <w:tcPr>
            <w:tcW w:type="dxa" w:w="162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Confort</w:t>
            </w:r>
          </w:p>
        </w:tc>
        <w:tc>
          <w:tcPr>
            <w:tcW w:type="dxa" w:w="171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Business plan Lean V1</w:t>
            </w:r>
          </w:p>
        </w:tc>
      </w:tr>
      <w:tr>
        <w:tc>
          <w:tcPr>
            <w:tcW w:type="dxa" w:w="4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Prestations externes (128 / 159 jours)</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93 500 €</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113 300 €</w:t>
            </w:r>
          </w:p>
        </w:tc>
        <w:tc>
          <w:tcPr>
            <w:tcW w:type="dxa" w:w="171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52 000 € (développement 36 000, UX 8 000, sécurité et RGPD 8 000)</w:t>
            </w:r>
          </w:p>
        </w:tc>
      </w:tr>
      <w:tr>
        <w:tc>
          <w:tcPr>
            <w:tcW w:type="dxa" w:w="4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API modèles et outils pendant la construction et le pilote (5 mois)</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2 000 €</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3 000 €</w:t>
            </w:r>
          </w:p>
        </w:tc>
        <w:tc>
          <w:tcPr>
            <w:tcW w:type="dxa" w:w="1718"/>
            <w:tcMar>
              <w:top w:w="60" w:type="dxa"/>
              <w:bottom w:w="60" w:type="dxa"/>
              <w:start w:w="90" w:type="dxa"/>
              <w:end w:w="90" w:type="dxa"/>
            </w:tcMar>
            <w:tcBorders>
              <w:top w:val="nil"/>
              <w:left w:val="nil"/>
              <w:bottom w:val="single" w:sz="4" w:color="E4DDD2"/>
              <w:right w:val="nil"/>
            </w:tcBorders>
          </w:tcPr>
          <w:p>
            <w:pPr>
              <w:spacing w:after="0" w:line="252" w:lineRule="auto"/>
            </w:pPr>
            <w:r/>
          </w:p>
        </w:tc>
      </w:tr>
      <w:tr>
        <w:tc>
          <w:tcPr>
            <w:tcW w:type="dxa" w:w="4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Hébergement et services pendant la construction (5 mois)</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1 250 €</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1 500 €</w:t>
            </w:r>
          </w:p>
        </w:tc>
        <w:tc>
          <w:tcPr>
            <w:tcW w:type="dxa" w:w="1718"/>
            <w:tcMar>
              <w:top w:w="60" w:type="dxa"/>
              <w:bottom w:w="60" w:type="dxa"/>
              <w:start w:w="90" w:type="dxa"/>
              <w:end w:w="90" w:type="dxa"/>
            </w:tcMar>
            <w:tcBorders>
              <w:top w:val="nil"/>
              <w:left w:val="nil"/>
              <w:bottom w:val="single" w:sz="4" w:color="E4DDD2"/>
              <w:right w:val="nil"/>
            </w:tcBorders>
          </w:tcPr>
          <w:p>
            <w:pPr>
              <w:spacing w:after="0" w:line="252" w:lineRule="auto"/>
            </w:pPr>
            <w:r/>
          </w:p>
        </w:tc>
      </w:tr>
      <w:tr>
        <w:tc>
          <w:tcPr>
            <w:tcW w:type="dxa" w:w="4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Évaluation de sécurité CASA niveau AL1 (laboratoire agréé, première année)</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1 500 €</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2 500 €</w:t>
            </w:r>
          </w:p>
        </w:tc>
        <w:tc>
          <w:tcPr>
            <w:tcW w:type="dxa" w:w="1718"/>
            <w:tcMar>
              <w:top w:w="60" w:type="dxa"/>
              <w:bottom w:w="60" w:type="dxa"/>
              <w:start w:w="90" w:type="dxa"/>
              <w:end w:w="90" w:type="dxa"/>
            </w:tcMar>
            <w:tcBorders>
              <w:top w:val="nil"/>
              <w:left w:val="nil"/>
              <w:bottom w:val="single" w:sz="4" w:color="E4DDD2"/>
              <w:right w:val="nil"/>
            </w:tcBorders>
          </w:tcPr>
          <w:p>
            <w:pPr>
              <w:spacing w:after="0" w:line="252" w:lineRule="auto"/>
            </w:pPr>
            <w:r/>
          </w:p>
        </w:tc>
      </w:tr>
      <w:tr>
        <w:tc>
          <w:tcPr>
            <w:tcW w:type="dxa" w:w="4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Juridique : statuts, pacte, CGV, politiques</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4 000 €</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4 000 €</w:t>
            </w:r>
          </w:p>
        </w:tc>
        <w:tc>
          <w:tcPr>
            <w:tcW w:type="dxa" w:w="1718"/>
            <w:tcMar>
              <w:top w:w="60" w:type="dxa"/>
              <w:bottom w:w="60" w:type="dxa"/>
              <w:start w:w="90" w:type="dxa"/>
              <w:end w:w="90" w:type="dxa"/>
            </w:tcMar>
            <w:tcBorders>
              <w:top w:val="nil"/>
              <w:left w:val="nil"/>
              <w:bottom w:val="single" w:sz="4" w:color="E4DDD2"/>
              <w:right w:val="nil"/>
            </w:tcBorders>
          </w:tcPr>
          <w:p>
            <w:pPr>
              <w:spacing w:after="0" w:line="252" w:lineRule="auto"/>
            </w:pPr>
            <w:r/>
          </w:p>
        </w:tc>
      </w:tr>
      <w:tr>
        <w:tc>
          <w:tcPr>
            <w:tcW w:type="dxa" w:w="4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Tests utilisateurs et acquisition pilote</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5 000 €</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5 000 €</w:t>
            </w:r>
          </w:p>
        </w:tc>
        <w:tc>
          <w:tcPr>
            <w:tcW w:type="dxa" w:w="1718"/>
            <w:tcMar>
              <w:top w:w="60" w:type="dxa"/>
              <w:bottom w:w="60" w:type="dxa"/>
              <w:start w:w="90" w:type="dxa"/>
              <w:end w:w="90" w:type="dxa"/>
            </w:tcMar>
            <w:tcBorders>
              <w:top w:val="nil"/>
              <w:left w:val="nil"/>
              <w:bottom w:val="single" w:sz="4" w:color="E4DDD2"/>
              <w:right w:val="nil"/>
            </w:tcBorders>
          </w:tcPr>
          <w:p>
            <w:pPr>
              <w:spacing w:after="0" w:line="252" w:lineRule="auto"/>
            </w:pPr>
            <w:r/>
          </w:p>
        </w:tc>
      </w:tr>
      <w:tr>
        <w:tc>
          <w:tcPr>
            <w:tcW w:type="dxa" w:w="4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Logiciels, outils de développement, observabilité</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1 500 €</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2 000 €</w:t>
            </w:r>
          </w:p>
        </w:tc>
        <w:tc>
          <w:tcPr>
            <w:tcW w:type="dxa" w:w="1718"/>
            <w:tcMar>
              <w:top w:w="60" w:type="dxa"/>
              <w:bottom w:w="60" w:type="dxa"/>
              <w:start w:w="90" w:type="dxa"/>
              <w:end w:w="90" w:type="dxa"/>
            </w:tcMar>
            <w:tcBorders>
              <w:top w:val="nil"/>
              <w:left w:val="nil"/>
              <w:bottom w:val="single" w:sz="4" w:color="E4DDD2"/>
              <w:right w:val="nil"/>
            </w:tcBorders>
          </w:tcPr>
          <w:p>
            <w:pPr>
              <w:spacing w:after="0" w:line="252" w:lineRule="auto"/>
            </w:pPr>
            <w:r/>
          </w:p>
        </w:tc>
      </w:tr>
      <w:tr>
        <w:tc>
          <w:tcPr>
            <w:tcW w:type="dxa" w:w="4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Nom de domaine, marque (recherche d'antériorité, dépôt INPI)</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1 500 €</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1 500 €</w:t>
            </w:r>
          </w:p>
        </w:tc>
        <w:tc>
          <w:tcPr>
            <w:tcW w:type="dxa" w:w="1718"/>
            <w:tcMar>
              <w:top w:w="60" w:type="dxa"/>
              <w:bottom w:w="60" w:type="dxa"/>
              <w:start w:w="90" w:type="dxa"/>
              <w:end w:w="90" w:type="dxa"/>
            </w:tcMar>
            <w:tcBorders>
              <w:top w:val="nil"/>
              <w:left w:val="nil"/>
              <w:bottom w:val="single" w:sz="4" w:color="E4DDD2"/>
              <w:right w:val="nil"/>
            </w:tcBorders>
          </w:tcPr>
          <w:p>
            <w:pPr>
              <w:spacing w:after="0" w:line="252" w:lineRule="auto"/>
            </w:pPr>
            <w:r/>
          </w:p>
        </w:tc>
      </w:tr>
      <w:tr>
        <w:tc>
          <w:tcPr>
            <w:tcW w:type="dxa" w:w="4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Imprévus 15 %</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16 538 €</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19 920 €</w:t>
            </w:r>
          </w:p>
        </w:tc>
        <w:tc>
          <w:tcPr>
            <w:tcW w:type="dxa" w:w="171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10 050 €</w:t>
            </w:r>
          </w:p>
        </w:tc>
      </w:tr>
      <w:tr>
        <w:tc>
          <w:tcPr>
            <w:tcW w:type="dxa" w:w="4439"/>
            <w:tcMar>
              <w:top w:w="60" w:type="dxa"/>
              <w:bottom w:w="60" w:type="dxa"/>
              <w:start w:w="90" w:type="dxa"/>
              <w:end w:w="90" w:type="dxa"/>
            </w:tcMar>
            <w:tcBorders>
              <w:top w:val="nil"/>
              <w:left w:val="nil"/>
              <w:bottom w:val="single" w:sz="4" w:color="E4DDD2"/>
              <w:right w:val="nil"/>
            </w:tcBorders>
          </w:tcPr>
          <w:p>
            <w:pPr>
              <w:spacing w:after="0" w:line="252" w:lineRule="auto"/>
            </w:pPr>
            <w:r/>
            <w:r>
              <w:rPr>
                <w:b/>
                <w:color w:val="201C19"/>
                <w:sz w:val="18"/>
              </w:rPr>
              <w:t>Total HT</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b/>
                <w:color w:val="201C19"/>
                <w:sz w:val="18"/>
              </w:rPr>
              <w:t>126 788 €</w:t>
            </w:r>
          </w:p>
        </w:tc>
        <w:tc>
          <w:tcPr>
            <w:tcW w:type="dxa" w:w="1628"/>
            <w:tcMar>
              <w:top w:w="60" w:type="dxa"/>
              <w:bottom w:w="60" w:type="dxa"/>
              <w:start w:w="90" w:type="dxa"/>
              <w:end w:w="90" w:type="dxa"/>
            </w:tcMar>
            <w:tcBorders>
              <w:top w:val="nil"/>
              <w:left w:val="nil"/>
              <w:bottom w:val="single" w:sz="4" w:color="E4DDD2"/>
              <w:right w:val="nil"/>
            </w:tcBorders>
          </w:tcPr>
          <w:p>
            <w:pPr>
              <w:spacing w:after="0" w:line="252" w:lineRule="auto"/>
            </w:pPr>
            <w:r/>
            <w:r>
              <w:rPr>
                <w:b/>
                <w:color w:val="201C19"/>
                <w:sz w:val="18"/>
              </w:rPr>
              <w:t>152 720 €</w:t>
            </w:r>
          </w:p>
        </w:tc>
        <w:tc>
          <w:tcPr>
            <w:tcW w:type="dxa" w:w="1718"/>
            <w:tcMar>
              <w:top w:w="60" w:type="dxa"/>
              <w:bottom w:w="60" w:type="dxa"/>
              <w:start w:w="90" w:type="dxa"/>
              <w:end w:w="90" w:type="dxa"/>
            </w:tcMar>
            <w:tcBorders>
              <w:top w:val="nil"/>
              <w:left w:val="nil"/>
              <w:bottom w:val="single" w:sz="4" w:color="E4DDD2"/>
              <w:right w:val="nil"/>
            </w:tcBorders>
          </w:tcPr>
          <w:p>
            <w:pPr>
              <w:spacing w:after="0" w:line="252" w:lineRule="auto"/>
            </w:pPr>
            <w:r/>
            <w:r>
              <w:rPr>
                <w:b/>
                <w:color w:val="201C19"/>
                <w:sz w:val="18"/>
              </w:rPr>
              <w:t>77 050 €</w:t>
            </w:r>
          </w:p>
        </w:tc>
      </w:tr>
    </w:tbl>
    <w:p>
      <w:pPr>
        <w:spacing w:after="40"/>
      </w:pPr>
    </w:p>
    <w:p>
      <w:r>
        <w:t>Le Business plan Lean V1 et ce plan ne décrivent pas le même objet. Les 36 000 € de développement de Finance achètent environ 55 jours au taux du marché ; le MVP des dix missions, avec son socle, sa passerelle, son moteur de politique et ses trois missions de réservation, en demande 128 en prestation externe dans la variante la plus frugale, les fondateurs prenant l'architecture, le produit, la recette et l'exploitation (56 jours non facturés, soit l'équivalent de 36 400 € au taux d'un développeur senior). L'écart est de 49 738 € en Lean et de 75 670 € en Confort. Trois façons de le fermer, qui ne s'excluent pas :</w:t>
      </w:r>
    </w:p>
    <w:p>
      <w:pPr>
        <w:spacing w:after="60"/>
        <w:ind w:left="425" w:hanging="425"/>
      </w:pPr>
      <w:r>
        <w:rPr>
          <w:b/>
        </w:rPr>
        <w:t>1.</w:t>
        <w:tab/>
      </w:r>
      <w:r>
        <w:rPr>
          <w:b/>
        </w:rPr>
        <w:t>Relever l'enveloppe à 100 000 € HT.</w:t>
      </w:r>
      <w:r>
        <w:t xml:space="preserve"> C'est déjà la valeur du scénario prudent du modèle 36 mois ; le besoin de financement central passe de 170 à environ 193 k€, l'écart entrant en entier dans le point bas de trésorerie. C'est l'option honnête si l'équipe veut les dix missions, réservations comprises, au lancement.</w:t>
      </w:r>
    </w:p>
    <w:p>
      <w:pPr>
        <w:spacing w:after="60"/>
        <w:ind w:left="425" w:hanging="425"/>
      </w:pPr>
      <w:r>
        <w:rPr>
          <w:b/>
        </w:rPr>
        <w:t>2.</w:t>
        <w:tab/>
      </w:r>
      <w:r>
        <w:rPr>
          <w:b/>
        </w:rPr>
        <w:t>Sortir le navigateur piloté de la prestation externe.</w:t>
      </w:r>
      <w:r>
        <w:t xml:space="preserve"> Les réservations passent d'abord par des API partenaires (TheFork, Mozrest) négociées par Steve, le navigateur piloté reste un prototype des fondateurs jusqu'aux mesures de décembre, et le chantier W5 (18 jours) sort du devis : le budget Lean revient à environ 110 228 €. C'est l'option cohérente avec la porte d'évidence : on ne paie pas le chantier le plus incertain avant de l'avoir mesuré.</w:t>
      </w:r>
    </w:p>
    <w:p>
      <w:pPr>
        <w:spacing w:after="60"/>
        <w:ind w:left="425" w:hanging="425"/>
      </w:pPr>
      <w:r>
        <w:rPr>
          <w:b/>
        </w:rPr>
        <w:t>3.</w:t>
        <w:tab/>
      </w:r>
      <w:r>
        <w:rPr>
          <w:b/>
        </w:rPr>
        <w:t>Financer une partie.</w:t>
      </w:r>
      <w:r>
        <w:t xml:space="preserve"> Bourse French Tech (Bpifrance, jusqu'à 30 000 € de subvention sur les dépenses de faisabilité, dossier après constitution de la société), statut Jeune entreprise innovante (exonérations de charges sur les salaires de recherche, sans effet sur les prestations externes), crédit d'impôt innovation (20 % des dépenses de prototype en 2026, remboursable). Ces dispositifs ne réduisent pas le devis, ils réduisent le besoin de trésorerie ; ils supposent D-01 et une société constituée. Les conditions et montants sont en annexe A, § A.4.</w:t>
      </w:r>
    </w:p>
    <w:p>
      <w:r>
        <w:t>Recommandation : l'option 2 pour la demande de devis de novembre, l'option 1 comme enveloppe plafond inscrite au registre, l'option 3 instruite par Sébastien en parallèle. Les prix unitaires de ce budget sont ceux du marché 2026 ; les jours sont des estimations ; seuls les devis feront foi, et il n'y en aura pas avant D-01.</w:t>
      </w:r>
    </w:p>
    <w:p>
      <w:r>
        <w:br w:type="page"/>
      </w:r>
    </w:p>
    <w:p>
      <w:pPr>
        <w:pStyle w:val="Heading1"/>
        <w:pBdr>
          <w:bottom w:val="single" w:sz="10" w:space="4" w:color="F0916A"/>
        </w:pBdr>
      </w:pPr>
      <w:r>
        <w:t>7. Risques techniques et de sécurité</w:t>
      </w:r>
    </w:p>
    <w:tbl>
      <w:tblPr>
        <w:tblW w:type="auto" w:w="0"/>
        <w:jc w:val="center"/>
        <w:tblLayout w:type="fixed"/>
        <w:tblLook w:firstColumn="1" w:firstRow="1" w:lastColumn="0" w:lastRow="0" w:noHBand="0" w:noVBand="1" w:val="04A0"/>
      </w:tblPr>
      <w:tblGrid>
        <w:gridCol w:w="1824"/>
        <w:gridCol w:w="1215"/>
        <w:gridCol w:w="1562"/>
        <w:gridCol w:w="2566"/>
        <w:gridCol w:w="1401"/>
        <w:gridCol w:w="844"/>
      </w:tblGrid>
      <w:tr>
        <w:tc>
          <w:tcPr>
            <w:tcW w:type="dxa" w:w="182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Risque</w:t>
            </w:r>
          </w:p>
        </w:tc>
        <w:tc>
          <w:tcPr>
            <w:tcW w:type="dxa" w:w="121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Probabilité</w:t>
            </w:r>
          </w:p>
        </w:tc>
        <w:tc>
          <w:tcPr>
            <w:tcW w:type="dxa" w:w="156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Impact</w:t>
            </w:r>
          </w:p>
        </w:tc>
        <w:tc>
          <w:tcPr>
            <w:tcW w:type="dxa" w:w="256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Réduction</w:t>
            </w:r>
          </w:p>
        </w:tc>
        <w:tc>
          <w:tcPr>
            <w:tcW w:type="dxa" w:w="140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Signal d'alerte</w:t>
            </w:r>
          </w:p>
        </w:tc>
        <w:tc>
          <w:tcPr>
            <w:tcW w:type="dxa" w:w="84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Porteur</w:t>
            </w:r>
          </w:p>
        </w:tc>
      </w:tr>
      <w:tr>
        <w:tc>
          <w:tcPr>
            <w:tcW w:type="dxa" w:w="18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Injection de prompt par un courriel ou une page conduisant à une action non voulue</w:t>
            </w:r>
          </w:p>
        </w:tc>
        <w:tc>
          <w:tcPr>
            <w:tcW w:type="dxa" w:w="1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Élevée sans défense, faible avec</w:t>
            </w:r>
          </w:p>
        </w:tc>
        <w:tc>
          <w:tcPr>
            <w:tcW w:type="dxa" w:w="15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Perte de confiance, incident CNIL</w:t>
            </w:r>
          </w:p>
        </w:tc>
        <w:tc>
          <w:tcPr>
            <w:tcW w:type="dxa" w:w="256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Séparation lecture et action, mandats, contenu balisé non fiable, tests d'injection avant le pilote</w:t>
            </w:r>
          </w:p>
        </w:tc>
        <w:tc>
          <w:tcPr>
            <w:tcW w:type="dxa" w:w="14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Toute action sans mandat au journal (critère éliminatoire du pilote)</w:t>
            </w:r>
          </w:p>
        </w:tc>
        <w:tc>
          <w:tcPr>
            <w:tcW w:type="dxa" w:w="8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Malik</w:t>
            </w:r>
          </w:p>
        </w:tc>
      </w:tr>
      <w:tr>
        <w:tc>
          <w:tcPr>
            <w:tcW w:type="dxa" w:w="18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Vol ou fuite de jetons OAuth</w:t>
            </w:r>
          </w:p>
        </w:tc>
        <w:tc>
          <w:tcPr>
            <w:tcW w:type="dxa" w:w="1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Faible</w:t>
            </w:r>
          </w:p>
        </w:tc>
        <w:tc>
          <w:tcPr>
            <w:tcW w:type="dxa" w:w="15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Accès aux boîtes des utilisateurs</w:t>
            </w:r>
          </w:p>
        </w:tc>
        <w:tc>
          <w:tcPr>
            <w:tcW w:type="dxa" w:w="256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Chiffrement applicatif, rotation, secrets hors du code, accès de production à deux personnes</w:t>
            </w:r>
          </w:p>
        </w:tc>
        <w:tc>
          <w:tcPr>
            <w:tcW w:type="dxa" w:w="14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Audit mensuel des accès</w:t>
            </w:r>
          </w:p>
        </w:tc>
        <w:tc>
          <w:tcPr>
            <w:tcW w:type="dxa" w:w="8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Malik</w:t>
            </w:r>
          </w:p>
        </w:tc>
      </w:tr>
      <w:tr>
        <w:tc>
          <w:tcPr>
            <w:tcW w:type="dxa" w:w="18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Refus ou délai de la vérification OAuth Google</w:t>
            </w:r>
          </w:p>
        </w:tc>
        <w:tc>
          <w:tcPr>
            <w:tcW w:type="dxa" w:w="1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Moyenne</w:t>
            </w:r>
          </w:p>
        </w:tc>
        <w:tc>
          <w:tcPr>
            <w:tcW w:type="dxa" w:w="15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Lancement décalé, pilote limité à 100 comptes test</w:t>
            </w:r>
          </w:p>
        </w:tc>
        <w:tc>
          <w:tcPr>
            <w:tcW w:type="dxa" w:w="256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Dossier déposé en janvier, périmètres minimaux, vidéo de démonstration, politique de confidentialité publiée, CASA anticipée</w:t>
            </w:r>
          </w:p>
        </w:tc>
        <w:tc>
          <w:tcPr>
            <w:tcW w:type="dxa" w:w="14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Pas d'accusé de réception sous deux semaines</w:t>
            </w:r>
          </w:p>
        </w:tc>
        <w:tc>
          <w:tcPr>
            <w:tcW w:type="dxa" w:w="8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Malik, Tiffany</w:t>
            </w:r>
          </w:p>
        </w:tc>
      </w:tr>
      <w:tr>
        <w:tc>
          <w:tcPr>
            <w:tcW w:type="dxa" w:w="18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Échec du navigateur piloté sur les sites de réservation (CAPTCHA, blocage, changement d'interface)</w:t>
            </w:r>
          </w:p>
        </w:tc>
        <w:tc>
          <w:tcPr>
            <w:tcW w:type="dxa" w:w="1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Élevée</w:t>
            </w:r>
          </w:p>
        </w:tc>
        <w:tc>
          <w:tcPr>
            <w:tcW w:type="dxa" w:w="15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Missions 3 et 4 non fiables, cœur de la promesse</w:t>
            </w:r>
          </w:p>
        </w:tc>
        <w:tc>
          <w:tcPr>
            <w:tcW w:type="dxa" w:w="256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Liste de plateformes testées, reprise idempotente, plafond de minutes, bascule « l'utilisateur termine »</w:t>
            </w:r>
          </w:p>
        </w:tc>
        <w:tc>
          <w:tcPr>
            <w:tcW w:type="dxa" w:w="14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Taux de réussite mesuré sous 50 %</w:t>
            </w:r>
          </w:p>
        </w:tc>
        <w:tc>
          <w:tcPr>
            <w:tcW w:type="dxa" w:w="8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Steve</w:t>
            </w:r>
          </w:p>
        </w:tc>
      </w:tr>
      <w:tr>
        <w:tc>
          <w:tcPr>
            <w:tcW w:type="dxa" w:w="18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Conditions d'utilisation des plateformes interdisant l'automatisation</w:t>
            </w:r>
          </w:p>
        </w:tc>
        <w:tc>
          <w:tcPr>
            <w:tcW w:type="dxa" w:w="1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Moyenne</w:t>
            </w:r>
          </w:p>
        </w:tc>
        <w:tc>
          <w:tcPr>
            <w:tcW w:type="dxa" w:w="15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Coupure d'accès, risque juridique</w:t>
            </w:r>
          </w:p>
        </w:tc>
        <w:tc>
          <w:tcPr>
            <w:tcW w:type="dxa" w:w="256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Revue des CGU des cinq plateformes cibles avant le pilote ; priorité aux API partenaires quand elles existent</w:t>
            </w:r>
          </w:p>
        </w:tc>
        <w:tc>
          <w:tcPr>
            <w:tcW w:type="dxa" w:w="14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Lettre ou blocage d'une plateforme</w:t>
            </w:r>
          </w:p>
        </w:tc>
        <w:tc>
          <w:tcPr>
            <w:tcW w:type="dxa" w:w="8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Tiffany</w:t>
            </w:r>
          </w:p>
        </w:tc>
      </w:tr>
      <w:tr>
        <w:tc>
          <w:tcPr>
            <w:tcW w:type="dxa" w:w="18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Dérive de coût (boucles, escalades, reprises)</w:t>
            </w:r>
          </w:p>
        </w:tc>
        <w:tc>
          <w:tcPr>
            <w:tcW w:type="dxa" w:w="1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Moyenne</w:t>
            </w:r>
          </w:p>
        </w:tc>
        <w:tc>
          <w:tcPr>
            <w:tcW w:type="dxa" w:w="15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Marge variable détruite</w:t>
            </w:r>
          </w:p>
        </w:tc>
        <w:tc>
          <w:tcPr>
            <w:tcW w:type="dxa" w:w="256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Budgets de jetons, plafonds, coupe-circuit, quotas chez les fournisseurs</w:t>
            </w:r>
          </w:p>
        </w:tc>
        <w:tc>
          <w:tcPr>
            <w:tcW w:type="dxa" w:w="14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Coût journalier supérieur à trois fois la moyenne</w:t>
            </w:r>
          </w:p>
        </w:tc>
        <w:tc>
          <w:tcPr>
            <w:tcW w:type="dxa" w:w="8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Isaac</w:t>
            </w:r>
          </w:p>
        </w:tc>
      </w:tr>
      <w:tr>
        <w:tc>
          <w:tcPr>
            <w:tcW w:type="dxa" w:w="18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Dépendance à un fournisseur de modèles (prix, retrait, panne)</w:t>
            </w:r>
          </w:p>
        </w:tc>
        <w:tc>
          <w:tcPr>
            <w:tcW w:type="dxa" w:w="1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Moyenne</w:t>
            </w:r>
          </w:p>
        </w:tc>
        <w:tc>
          <w:tcPr>
            <w:tcW w:type="dxa" w:w="15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Coût ou indisponibilité</w:t>
            </w:r>
          </w:p>
        </w:tc>
        <w:tc>
          <w:tcPr>
            <w:tcW w:type="dxa" w:w="256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Passerelle avec deux fournisseurs par palier, tests de bascule mensuels</w:t>
            </w:r>
          </w:p>
        </w:tc>
        <w:tc>
          <w:tcPr>
            <w:tcW w:type="dxa" w:w="14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Hausse de prix ou dégradation d'un modèle</w:t>
            </w:r>
          </w:p>
        </w:tc>
        <w:tc>
          <w:tcPr>
            <w:tcW w:type="dxa" w:w="8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Malik</w:t>
            </w:r>
          </w:p>
        </w:tc>
      </w:tr>
      <w:tr>
        <w:tc>
          <w:tcPr>
            <w:tcW w:type="dxa" w:w="18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Données particulières incidentes stockées</w:t>
            </w:r>
          </w:p>
        </w:tc>
        <w:tc>
          <w:tcPr>
            <w:tcW w:type="dxa" w:w="1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Moyenne</w:t>
            </w:r>
          </w:p>
        </w:tc>
        <w:tc>
          <w:tcPr>
            <w:tcW w:type="dxa" w:w="15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Manquement RGPD aggravé</w:t>
            </w:r>
          </w:p>
        </w:tc>
        <w:tc>
          <w:tcPr>
            <w:tcW w:type="dxa" w:w="256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Filtrage à l'activation et au socle, pas de texte intégral en mémoire, AIPD</w:t>
            </w:r>
          </w:p>
        </w:tc>
        <w:tc>
          <w:tcPr>
            <w:tcW w:type="dxa" w:w="14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Audit d'échantillon mensuel de la mémoire</w:t>
            </w:r>
          </w:p>
        </w:tc>
        <w:tc>
          <w:tcPr>
            <w:tcW w:type="dxa" w:w="8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Tiffany</w:t>
            </w:r>
          </w:p>
        </w:tc>
      </w:tr>
      <w:tr>
        <w:tc>
          <w:tcPr>
            <w:tcW w:type="dxa" w:w="18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Un seul développeur externe (variante Lean)</w:t>
            </w:r>
          </w:p>
        </w:tc>
        <w:tc>
          <w:tcPr>
            <w:tcW w:type="dxa" w:w="1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Élevée</w:t>
            </w:r>
          </w:p>
        </w:tc>
        <w:tc>
          <w:tcPr>
            <w:tcW w:type="dxa" w:w="15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Retard de six à huit semaines en cas de départ</w:t>
            </w:r>
          </w:p>
        </w:tc>
        <w:tc>
          <w:tcPr>
            <w:tcW w:type="dxa" w:w="256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Documentation, revue de code par Malik, clause de transfert, option Confort</w:t>
            </w:r>
          </w:p>
        </w:tc>
        <w:tc>
          <w:tcPr>
            <w:tcW w:type="dxa" w:w="14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Vélocité sous 70 % du plan deux semaines de suite</w:t>
            </w:r>
          </w:p>
        </w:tc>
        <w:tc>
          <w:tcPr>
            <w:tcW w:type="dxa" w:w="8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Malik</w:t>
            </w:r>
          </w:p>
        </w:tc>
      </w:tr>
      <w:tr>
        <w:tc>
          <w:tcPr>
            <w:tcW w:type="dxa" w:w="18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Obligations de transparence du règlement IA (depuis le 2 août 2026)</w:t>
            </w:r>
          </w:p>
        </w:tc>
        <w:tc>
          <w:tcPr>
            <w:tcW w:type="dxa" w:w="1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Certaine</w:t>
            </w:r>
          </w:p>
        </w:tc>
        <w:tc>
          <w:tcPr>
            <w:tcW w:type="dxa" w:w="156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Mise en conformité</w:t>
            </w:r>
          </w:p>
        </w:tc>
        <w:tc>
          <w:tcPr>
            <w:tcW w:type="dxa" w:w="256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Mention explicite de l'IA dans l'interface et dans les courriels générés, charte des agents V2</w:t>
            </w:r>
          </w:p>
        </w:tc>
        <w:tc>
          <w:tcPr>
            <w:tcW w:type="dxa" w:w="14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Revue juridique</w:t>
            </w:r>
          </w:p>
        </w:tc>
        <w:tc>
          <w:tcPr>
            <w:tcW w:type="dxa" w:w="8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Tiffany</w:t>
            </w:r>
          </w:p>
        </w:tc>
      </w:tr>
    </w:tbl>
    <w:p>
      <w:pPr>
        <w:spacing w:after="40"/>
      </w:pPr>
    </w:p>
    <w:p>
      <w:r>
        <w:br w:type="page"/>
      </w:r>
    </w:p>
    <w:p>
      <w:pPr>
        <w:pStyle w:val="Heading1"/>
        <w:pBdr>
          <w:bottom w:val="single" w:sz="10" w:space="4" w:color="F0916A"/>
        </w:pBdr>
      </w:pPr>
      <w:r>
        <w:t>8. Tableau commun par mission</w:t>
      </w:r>
    </w:p>
    <w:p>
      <w:r>
        <w:t>Le tableau demandé par Finance (mission, priorité, scénario, modèle, appels et outils, coût, taux de réussite, risque, décision) est en deux parties ; l'onglet Tableau commun du classeur le donne en une seule, avec les coûts liés aux formules.</w:t>
      </w:r>
    </w:p>
    <w:p>
      <w:r>
        <w:rPr>
          <w:b/>
        </w:rPr>
        <w:t>8.1 Exécution</w:t>
      </w:r>
    </w:p>
    <w:tbl>
      <w:tblPr>
        <w:tblW w:type="auto" w:w="0"/>
        <w:jc w:val="center"/>
        <w:tblLayout w:type="fixed"/>
        <w:tblLook w:firstColumn="1" w:firstRow="1" w:lastColumn="0" w:lastRow="0" w:noHBand="0" w:noVBand="1" w:val="04A0"/>
      </w:tblPr>
      <w:tblGrid>
        <w:gridCol w:w="1889"/>
        <w:gridCol w:w="999"/>
        <w:gridCol w:w="2904"/>
        <w:gridCol w:w="1395"/>
        <w:gridCol w:w="2224"/>
      </w:tblGrid>
      <w:tr>
        <w:tc>
          <w:tcPr>
            <w:tcW w:type="dxa" w:w="188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Mission</w:t>
            </w:r>
          </w:p>
        </w:tc>
        <w:tc>
          <w:tcPr>
            <w:tcW w:type="dxa" w:w="99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Priorité</w:t>
            </w:r>
          </w:p>
        </w:tc>
        <w:tc>
          <w:tcPr>
            <w:tcW w:type="dxa" w:w="290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Scénario d'exécution</w:t>
            </w:r>
          </w:p>
        </w:tc>
        <w:tc>
          <w:tcPr>
            <w:tcW w:type="dxa" w:w="139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Modèle IA</w:t>
            </w:r>
          </w:p>
        </w:tc>
        <w:tc>
          <w:tcPr>
            <w:tcW w:type="dxa" w:w="222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Appels et outils</w:t>
            </w:r>
          </w:p>
        </w:tc>
      </w:tr>
      <w:tr>
        <w:tc>
          <w:tcPr>
            <w:tcW w:type="dxa" w:w="18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M0 Socle : tri quotidien des courriels et de l'agenda (partagé par M1, M2, M8, M9)</w:t>
            </w:r>
          </w:p>
        </w:tc>
        <w:tc>
          <w:tcPr>
            <w:tcW w:type="dxa" w:w="9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Socle</w:t>
            </w:r>
          </w:p>
        </w:tc>
        <w:tc>
          <w:tcPr>
            <w:tcW w:type="dxa" w:w="2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Lecture nocturne des courriels, de l'agenda et de Drive ; classement, résumés, entités en mémoire.</w:t>
            </w:r>
          </w:p>
        </w:tc>
        <w:tc>
          <w:tcPr>
            <w:tcW w:type="dxa" w:w="13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Petit</w:t>
            </w:r>
          </w:p>
        </w:tc>
        <w:tc>
          <w:tcPr>
            <w:tcW w:type="dxa" w:w="22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 appel petit modèle par nuit (≈ 20 k jetons) ; API Gmail, Agenda, Drive (gratuites) ; embeddings.</w:t>
            </w:r>
          </w:p>
        </w:tc>
      </w:tr>
      <w:tr>
        <w:tc>
          <w:tcPr>
            <w:tcW w:type="dxa" w:w="18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M1 Briefing quotidien</w:t>
            </w:r>
          </w:p>
        </w:tc>
        <w:tc>
          <w:tcPr>
            <w:tcW w:type="dxa" w:w="9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w:t>
            </w:r>
          </w:p>
        </w:tc>
        <w:tc>
          <w:tcPr>
            <w:tcW w:type="dxa" w:w="2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Composition matinale de 3 à 5 points à partir du socle.</w:t>
            </w:r>
          </w:p>
        </w:tc>
        <w:tc>
          <w:tcPr>
            <w:tcW w:type="dxa" w:w="13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Moyen</w:t>
            </w:r>
          </w:p>
        </w:tc>
        <w:tc>
          <w:tcPr>
            <w:tcW w:type="dxa" w:w="22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 appel moyen (≈ 8 k jetons, moitié en cache).</w:t>
            </w:r>
          </w:p>
        </w:tc>
      </w:tr>
      <w:tr>
        <w:tc>
          <w:tcPr>
            <w:tcW w:type="dxa" w:w="18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M2 Suivi des échéances personnelles</w:t>
            </w:r>
          </w:p>
        </w:tc>
        <w:tc>
          <w:tcPr>
            <w:tcW w:type="dxa" w:w="9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w:t>
            </w:r>
          </w:p>
        </w:tc>
        <w:tc>
          <w:tcPr>
            <w:tcW w:type="dxa" w:w="2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Extraction et confirmation des échéances, rappels J-30 et J-7.</w:t>
            </w:r>
          </w:p>
        </w:tc>
        <w:tc>
          <w:tcPr>
            <w:tcW w:type="dxa" w:w="13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Petit puis moyen</w:t>
            </w:r>
          </w:p>
        </w:tc>
        <w:tc>
          <w:tcPr>
            <w:tcW w:type="dxa" w:w="22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 appel petit + 1 appel moyen par échéance.</w:t>
            </w:r>
          </w:p>
        </w:tc>
      </w:tr>
      <w:tr>
        <w:tc>
          <w:tcPr>
            <w:tcW w:type="dxa" w:w="18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M3 Prise de rendez-vous de service (garage, coiffeur, artisan)</w:t>
            </w:r>
          </w:p>
        </w:tc>
        <w:tc>
          <w:tcPr>
            <w:tcW w:type="dxa" w:w="9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w:t>
            </w:r>
          </w:p>
        </w:tc>
        <w:tc>
          <w:tcPr>
            <w:tcW w:type="dxa" w:w="2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Recherche de prestataires, créneaux, réservation en ligne par navigateur piloté après validation.</w:t>
            </w:r>
          </w:p>
        </w:tc>
        <w:tc>
          <w:tcPr>
            <w:tcW w:type="dxa" w:w="13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Moyen, escalade frontière 5 %</w:t>
            </w:r>
          </w:p>
        </w:tc>
        <w:tc>
          <w:tcPr>
            <w:tcW w:type="dxa" w:w="22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15 appels moyens, 2 petits ; Places × 3 ; navigateur 8 min.</w:t>
            </w:r>
          </w:p>
        </w:tc>
      </w:tr>
      <w:tr>
        <w:tc>
          <w:tcPr>
            <w:tcW w:type="dxa" w:w="18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M4 Réservation de restaurant</w:t>
            </w:r>
          </w:p>
        </w:tc>
        <w:tc>
          <w:tcPr>
            <w:tcW w:type="dxa" w:w="9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w:t>
            </w:r>
          </w:p>
        </w:tc>
        <w:tc>
          <w:tcPr>
            <w:tcW w:type="dxa" w:w="2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Propositions puis réservation par navigateur piloté après validation.</w:t>
            </w:r>
          </w:p>
        </w:tc>
        <w:tc>
          <w:tcPr>
            <w:tcW w:type="dxa" w:w="13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Moyen, escalade frontière 5 %</w:t>
            </w:r>
          </w:p>
        </w:tc>
        <w:tc>
          <w:tcPr>
            <w:tcW w:type="dxa" w:w="22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12 appels moyens, 2 petits ; Places × 4 ; navigateur 6 min ; API partenaire si accord TheFork ou Mozrest.</w:t>
            </w:r>
          </w:p>
        </w:tc>
      </w:tr>
      <w:tr>
        <w:tc>
          <w:tcPr>
            <w:tcW w:type="dxa" w:w="18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M5 Organisation d'un déplacement privé</w:t>
            </w:r>
          </w:p>
        </w:tc>
        <w:tc>
          <w:tcPr>
            <w:tcW w:type="dxa" w:w="9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w:t>
            </w:r>
          </w:p>
        </w:tc>
        <w:tc>
          <w:tcPr>
            <w:tcW w:type="dxa" w:w="2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Recherche, lecture de pages, programme à 2 ou 3 options chiffrées ; aucune réservation.</w:t>
            </w:r>
          </w:p>
        </w:tc>
        <w:tc>
          <w:tcPr>
            <w:tcW w:type="dxa" w:w="13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Moyen, petit pour l'extraction</w:t>
            </w:r>
          </w:p>
        </w:tc>
        <w:tc>
          <w:tcPr>
            <w:tcW w:type="dxa" w:w="22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8 recherches, 10 lectures de page, 6 appels moyens, 4 petits.</w:t>
            </w:r>
          </w:p>
        </w:tc>
      </w:tr>
      <w:tr>
        <w:tc>
          <w:tcPr>
            <w:tcW w:type="dxa" w:w="18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M6 Brouillons de courriels personnels</w:t>
            </w:r>
          </w:p>
        </w:tc>
        <w:tc>
          <w:tcPr>
            <w:tcW w:type="dxa" w:w="9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w:t>
            </w:r>
          </w:p>
        </w:tc>
        <w:tc>
          <w:tcPr>
            <w:tcW w:type="dxa" w:w="2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Brouillon dans le ton de l'utilisateur, envoi après validation.</w:t>
            </w:r>
          </w:p>
        </w:tc>
        <w:tc>
          <w:tcPr>
            <w:tcW w:type="dxa" w:w="13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Moyen</w:t>
            </w:r>
          </w:p>
        </w:tc>
        <w:tc>
          <w:tcPr>
            <w:tcW w:type="dxa" w:w="22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 appel moyen.</w:t>
            </w:r>
          </w:p>
        </w:tc>
      </w:tr>
      <w:tr>
        <w:tc>
          <w:tcPr>
            <w:tcW w:type="dxa" w:w="18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M7 Coordination de l'agenda familial</w:t>
            </w:r>
          </w:p>
        </w:tc>
        <w:tc>
          <w:tcPr>
            <w:tcW w:type="dxa" w:w="9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w:t>
            </w:r>
          </w:p>
        </w:tc>
        <w:tc>
          <w:tcPr>
            <w:tcW w:type="dxa" w:w="2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Détection des conflits d'agenda, proposition, modification après validation.</w:t>
            </w:r>
          </w:p>
        </w:tc>
        <w:tc>
          <w:tcPr>
            <w:tcW w:type="dxa" w:w="13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Petit puis moyen</w:t>
            </w:r>
          </w:p>
        </w:tc>
        <w:tc>
          <w:tcPr>
            <w:tcW w:type="dxa" w:w="22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 petit + 1 moyen ; API Agenda.</w:t>
            </w:r>
          </w:p>
        </w:tc>
      </w:tr>
      <w:tr>
        <w:tc>
          <w:tcPr>
            <w:tcW w:type="dxa" w:w="18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M8 Suivi des abonnements</w:t>
            </w:r>
          </w:p>
        </w:tc>
        <w:tc>
          <w:tcPr>
            <w:tcW w:type="dxa" w:w="9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3</w:t>
            </w:r>
          </w:p>
        </w:tc>
        <w:tc>
          <w:tcPr>
            <w:tcW w:type="dxa" w:w="2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Inventaire mensuel des abonnements, alertes, lettre de résiliation préparée.</w:t>
            </w:r>
          </w:p>
        </w:tc>
        <w:tc>
          <w:tcPr>
            <w:tcW w:type="dxa" w:w="13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Petit puis moyen</w:t>
            </w:r>
          </w:p>
        </w:tc>
        <w:tc>
          <w:tcPr>
            <w:tcW w:type="dxa" w:w="22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 petit + 1,5 moyen.</w:t>
            </w:r>
          </w:p>
        </w:tc>
      </w:tr>
      <w:tr>
        <w:tc>
          <w:tcPr>
            <w:tcW w:type="dxa" w:w="18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M9 Relances et engagements en attente</w:t>
            </w:r>
          </w:p>
        </w:tc>
        <w:tc>
          <w:tcPr>
            <w:tcW w:type="dxa" w:w="9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w:t>
            </w:r>
          </w:p>
        </w:tc>
        <w:tc>
          <w:tcPr>
            <w:tcW w:type="dxa" w:w="2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Liste des attentes, relance rédigée au bon moment, envoi après validation.</w:t>
            </w:r>
          </w:p>
        </w:tc>
        <w:tc>
          <w:tcPr>
            <w:tcW w:type="dxa" w:w="13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Moyen</w:t>
            </w:r>
          </w:p>
        </w:tc>
        <w:tc>
          <w:tcPr>
            <w:tcW w:type="dxa" w:w="22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0,5 petit + 1 moyen.</w:t>
            </w:r>
          </w:p>
        </w:tc>
      </w:tr>
      <w:tr>
        <w:tc>
          <w:tcPr>
            <w:tcW w:type="dxa" w:w="18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M10 Préparation d'un événement personnel</w:t>
            </w:r>
          </w:p>
        </w:tc>
        <w:tc>
          <w:tcPr>
            <w:tcW w:type="dxa" w:w="9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3</w:t>
            </w:r>
          </w:p>
        </w:tc>
        <w:tc>
          <w:tcPr>
            <w:tcW w:type="dxa" w:w="2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Rappel, idées, organisation, réservation éventuelle (réutilise M4).</w:t>
            </w:r>
          </w:p>
        </w:tc>
        <w:tc>
          <w:tcPr>
            <w:tcW w:type="dxa" w:w="13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Moyen</w:t>
            </w:r>
          </w:p>
        </w:tc>
        <w:tc>
          <w:tcPr>
            <w:tcW w:type="dxa" w:w="22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3 moyens, 1 petit ; recherches × 3 ; Places ; navigateur 3 min.</w:t>
            </w:r>
          </w:p>
        </w:tc>
      </w:tr>
      <w:tr>
        <w:tc>
          <w:tcPr>
            <w:tcW w:type="dxa" w:w="18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M11 Activation : lecture initiale de la boîte et profil (une fois par nouvel abonné)</w:t>
            </w:r>
          </w:p>
        </w:tc>
        <w:tc>
          <w:tcPr>
            <w:tcW w:type="dxa" w:w="9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Socle</w:t>
            </w:r>
          </w:p>
        </w:tc>
        <w:tc>
          <w:tcPr>
            <w:tcW w:type="dxa" w:w="2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Lecture initiale de 12 mois de courriels en lot, profil de préférences confirmé par l'utilisateur.</w:t>
            </w:r>
          </w:p>
        </w:tc>
        <w:tc>
          <w:tcPr>
            <w:tcW w:type="dxa" w:w="13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Petit en lot, moyen pour le profil</w:t>
            </w:r>
          </w:p>
        </w:tc>
        <w:tc>
          <w:tcPr>
            <w:tcW w:type="dxa" w:w="22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400 k jetons petit modèle en lot (tarif lot −50 %), embeddings, 1 appel moyen.</w:t>
            </w:r>
          </w:p>
        </w:tc>
      </w:tr>
    </w:tbl>
    <w:p>
      <w:pPr>
        <w:spacing w:after="40"/>
      </w:pPr>
    </w:p>
    <w:p>
      <w:r>
        <w:rPr>
          <w:b/>
        </w:rPr>
        <w:t>8.2 Coût, fiabilité, risque, décision</w:t>
      </w:r>
    </w:p>
    <w:tbl>
      <w:tblPr>
        <w:tblW w:type="auto" w:w="0"/>
        <w:jc w:val="center"/>
        <w:tblLayout w:type="fixed"/>
        <w:tblLook w:firstColumn="1" w:firstRow="1" w:lastColumn="0" w:lastRow="0" w:noHBand="0" w:noVBand="1" w:val="04A0"/>
      </w:tblPr>
      <w:tblGrid>
        <w:gridCol w:w="865"/>
        <w:gridCol w:w="1056"/>
        <w:gridCol w:w="865"/>
        <w:gridCol w:w="1056"/>
        <w:gridCol w:w="2701"/>
        <w:gridCol w:w="2869"/>
      </w:tblGrid>
      <w:tr>
        <w:tc>
          <w:tcPr>
            <w:tcW w:type="dxa" w:w="86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Mission</w:t>
            </w:r>
          </w:p>
        </w:tc>
        <w:tc>
          <w:tcPr>
            <w:tcW w:type="dxa" w:w="105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Coût HT / exécution</w:t>
            </w:r>
          </w:p>
        </w:tc>
        <w:tc>
          <w:tcPr>
            <w:tcW w:type="dxa" w:w="86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Coût / mois Premium</w:t>
            </w:r>
          </w:p>
        </w:tc>
        <w:tc>
          <w:tcPr>
            <w:tcW w:type="dxa" w:w="105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Réussite (estimée, non mesurée)</w:t>
            </w:r>
          </w:p>
        </w:tc>
        <w:tc>
          <w:tcPr>
            <w:tcW w:type="dxa" w:w="270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Risque</w:t>
            </w:r>
          </w:p>
        </w:tc>
        <w:tc>
          <w:tcPr>
            <w:tcW w:type="dxa" w:w="286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Décision recommandée</w:t>
            </w:r>
          </w:p>
        </w:tc>
      </w:tr>
      <w:tr>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M0</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0,004 €</w:t>
            </w:r>
          </w:p>
        </w:tc>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0,11 €</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97 %</w:t>
            </w:r>
          </w:p>
        </w:tc>
        <w:tc>
          <w:tcPr>
            <w:tcW w:type="dxa" w:w="27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Injection de prompt par un courriel : le socle ne doit jamais déclencher d'action. Volume de courriels très variable selon l'utilisateur.</w:t>
            </w:r>
          </w:p>
        </w:tc>
        <w:tc>
          <w:tcPr>
            <w:tcW w:type="dxa" w:w="28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Construire en premier ; contenu des courriels traité comme données non fiables ; aucune capacité d'action.</w:t>
            </w:r>
          </w:p>
        </w:tc>
      </w:tr>
      <w:tr>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M1</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0,022 €</w:t>
            </w:r>
          </w:p>
        </w:tc>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0,66 €</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95 %</w:t>
            </w:r>
          </w:p>
        </w:tc>
        <w:tc>
          <w:tcPr>
            <w:tcW w:type="dxa" w:w="27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Banalité : un briefing sans valeur perçue fait partir l'utilisateur.</w:t>
            </w:r>
          </w:p>
        </w:tc>
        <w:tc>
          <w:tcPr>
            <w:tcW w:type="dxa" w:w="28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Mission d'habitude : livrer au pilote dès le jour 1 ; mesurer l'ouverture quotidienne.</w:t>
            </w:r>
          </w:p>
        </w:tc>
      </w:tr>
      <w:tr>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M2</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0,026 €</w:t>
            </w:r>
          </w:p>
        </w:tc>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0,21 €</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90 %</w:t>
            </w:r>
          </w:p>
        </w:tc>
        <w:tc>
          <w:tcPr>
            <w:tcW w:type="dxa" w:w="27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Faux positifs (fausse échéance) et oublis ; aucune démarche officielle.</w:t>
            </w:r>
          </w:p>
        </w:tc>
        <w:tc>
          <w:tcPr>
            <w:tcW w:type="dxa" w:w="28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Inclure ; rappel seulement ; taux de faux positifs à mesurer.</w:t>
            </w:r>
          </w:p>
        </w:tc>
      </w:tr>
      <w:tr>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M3</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0,997 €</w:t>
            </w:r>
          </w:p>
        </w:tc>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1,00 €</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65 %</w:t>
            </w:r>
          </w:p>
        </w:tc>
        <w:tc>
          <w:tcPr>
            <w:tcW w:type="dxa" w:w="27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Pas d'API chez la plupart des plateformes ; CAPTCHA et conditions d'utilisation ; échec en cours de parcours.</w:t>
            </w:r>
          </w:p>
        </w:tc>
        <w:tc>
          <w:tcPr>
            <w:tcW w:type="dxa" w:w="28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Inclure sur un périmètre de plateformes testé ; au plafond de minutes, l'utilisateur termine lui-même.</w:t>
            </w:r>
          </w:p>
        </w:tc>
      </w:tr>
      <w:tr>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M4</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0,684 €</w:t>
            </w:r>
          </w:p>
        </w:tc>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1,37 €</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70 %</w:t>
            </w:r>
          </w:p>
        </w:tc>
        <w:tc>
          <w:tcPr>
            <w:tcW w:type="dxa" w:w="27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Idem M3 ; double réservation si reprise mal gérée.</w:t>
            </w:r>
          </w:p>
        </w:tc>
        <w:tc>
          <w:tcPr>
            <w:tcW w:type="dxa" w:w="28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Inclure ; idempotence des réservations ; mesurer dès le pilote (mission qui démontre la promesse).</w:t>
            </w:r>
          </w:p>
        </w:tc>
      </w:tr>
      <w:tr>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M5</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0,514 €</w:t>
            </w:r>
          </w:p>
        </w:tc>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0,26 €</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75 %</w:t>
            </w:r>
          </w:p>
        </w:tc>
        <w:tc>
          <w:tcPr>
            <w:tcW w:type="dxa" w:w="27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Qualité de la synthèse ; prix périmés ; Code du tourisme si réservation.</w:t>
            </w:r>
          </w:p>
        </w:tc>
        <w:tc>
          <w:tcPr>
            <w:tcW w:type="dxa" w:w="28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Inclure sans réservation ; la mission la plus coûteuse en jetons, à mesurer en premier avec M1.</w:t>
            </w:r>
          </w:p>
        </w:tc>
      </w:tr>
      <w:tr>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M6</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0,020 €</w:t>
            </w:r>
          </w:p>
        </w:tc>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0,12 €</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85 %</w:t>
            </w:r>
          </w:p>
        </w:tc>
        <w:tc>
          <w:tcPr>
            <w:tcW w:type="dxa" w:w="27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Ton inadapté ; envoi sans validation (interdit par le moteur de politique).</w:t>
            </w:r>
          </w:p>
        </w:tc>
        <w:tc>
          <w:tcPr>
            <w:tcW w:type="dxa" w:w="28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Inclure ; mesurer le taux de brouillons envoyés sans modification.</w:t>
            </w:r>
          </w:p>
        </w:tc>
      </w:tr>
      <w:tr>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M7</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0,044 €</w:t>
            </w:r>
          </w:p>
        </w:tc>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0,18 €</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80 %</w:t>
            </w:r>
          </w:p>
        </w:tc>
        <w:tc>
          <w:tcPr>
            <w:tcW w:type="dxa" w:w="27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Tiers concernés (conjoint, enfants) : validation à chaque fois.</w:t>
            </w:r>
          </w:p>
        </w:tc>
        <w:tc>
          <w:tcPr>
            <w:tcW w:type="dxa" w:w="28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Inclure pour tester la cible famille ; profils multiples reportés.</w:t>
            </w:r>
          </w:p>
        </w:tc>
      </w:tr>
      <w:tr>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M8</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0,050 €</w:t>
            </w:r>
          </w:p>
        </w:tc>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0,05 €</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85 %</w:t>
            </w:r>
          </w:p>
        </w:tc>
        <w:tc>
          <w:tcPr>
            <w:tcW w:type="dxa" w:w="27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Inventaire incomplet ; résiliation par prélèvement exclue.</w:t>
            </w:r>
          </w:p>
        </w:tc>
        <w:tc>
          <w:tcPr>
            <w:tcW w:type="dxa" w:w="28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Inclure (faible coût, forte valeur perçue) ; pas d'accès bancaire.</w:t>
            </w:r>
          </w:p>
        </w:tc>
      </w:tr>
      <w:tr>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M9</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0,016 €</w:t>
            </w:r>
          </w:p>
        </w:tc>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0,06 €</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85 %</w:t>
            </w:r>
          </w:p>
        </w:tc>
        <w:tc>
          <w:tcPr>
            <w:tcW w:type="dxa" w:w="27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Relance inopportune ; doublon avec M6.</w:t>
            </w:r>
          </w:p>
        </w:tc>
        <w:tc>
          <w:tcPr>
            <w:tcW w:type="dxa" w:w="28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Inclure ; fusionner l'interface avec M6.</w:t>
            </w:r>
          </w:p>
        </w:tc>
      </w:tr>
      <w:tr>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M10</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0,309 €</w:t>
            </w:r>
          </w:p>
        </w:tc>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0,15 €</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70 %</w:t>
            </w:r>
          </w:p>
        </w:tc>
        <w:tc>
          <w:tcPr>
            <w:tcW w:type="dxa" w:w="27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Faible fréquence, forte variabilité.</w:t>
            </w:r>
          </w:p>
        </w:tc>
        <w:tc>
          <w:tcPr>
            <w:tcW w:type="dxa" w:w="28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Reporter après le pilote si M3 et M4 ne tiennent pas leurs mesures ; sinon inclure.</w:t>
            </w:r>
          </w:p>
        </w:tc>
      </w:tr>
      <w:tr>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M11</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0,157 €</w:t>
            </w:r>
          </w:p>
        </w:tc>
        <w:tc>
          <w:tcPr>
            <w:tcW w:type="dxa" w:w="8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0,00 €</w:t>
            </w:r>
          </w:p>
        </w:tc>
        <w:tc>
          <w:tcPr>
            <w:tcW w:type="dxa" w:w="105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95 %</w:t>
            </w:r>
          </w:p>
        </w:tc>
        <w:tc>
          <w:tcPr>
            <w:tcW w:type="dxa" w:w="27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Coût d'activation ; données particulières incidentes (santé, opinions) à détecter et ne pas conserver.</w:t>
            </w:r>
          </w:p>
        </w:tc>
        <w:tc>
          <w:tcPr>
            <w:tcW w:type="dxa" w:w="28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Inclure avec filtrage des données particulières ; compter dans le CAC.</w:t>
            </w:r>
          </w:p>
        </w:tc>
      </w:tr>
    </w:tbl>
    <w:p>
      <w:pPr>
        <w:spacing w:after="40"/>
      </w:pPr>
    </w:p>
    <w:p>
      <w:r>
        <w:br w:type="page"/>
      </w:r>
    </w:p>
    <w:p>
      <w:pPr>
        <w:pStyle w:val="Heading1"/>
        <w:pBdr>
          <w:bottom w:val="single" w:sz="10" w:space="4" w:color="F0916A"/>
        </w:pBdr>
      </w:pPr>
      <w:r>
        <w:t>9. Hypothèses à ajouter au registre Finance</w:t>
      </w:r>
    </w:p>
    <w:p>
      <w:r>
        <w:t>Le registre des hypothèses Finance s'arrête à H08. Les lignes suivantes sont proposées à Sébastien ; elles sont toutes des hypothèses tant que le pilote n'a pas mesuré.</w:t>
      </w:r>
    </w:p>
    <w:tbl>
      <w:tblPr>
        <w:tblW w:type="auto" w:w="0"/>
        <w:jc w:val="center"/>
        <w:tblLayout w:type="fixed"/>
        <w:tblLook w:firstColumn="1" w:firstRow="1" w:lastColumn="0" w:lastRow="0" w:noHBand="0" w:noVBand="1" w:val="04A0"/>
      </w:tblPr>
      <w:tblGrid>
        <w:gridCol w:w="1099"/>
        <w:gridCol w:w="2768"/>
        <w:gridCol w:w="1478"/>
        <w:gridCol w:w="1986"/>
        <w:gridCol w:w="2081"/>
      </w:tblGrid>
      <w:tr>
        <w:tc>
          <w:tcPr>
            <w:tcW w:type="dxa" w:w="109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ID</w:t>
            </w:r>
          </w:p>
        </w:tc>
        <w:tc>
          <w:tcPr>
            <w:tcW w:type="dxa" w:w="276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Variable</w:t>
            </w:r>
          </w:p>
        </w:tc>
        <w:tc>
          <w:tcPr>
            <w:tcW w:type="dxa" w:w="147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Valeur V1</w:t>
            </w:r>
          </w:p>
        </w:tc>
        <w:tc>
          <w:tcPr>
            <w:tcW w:type="dxa" w:w="198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Nature</w:t>
            </w:r>
          </w:p>
        </w:tc>
        <w:tc>
          <w:tcPr>
            <w:tcW w:type="dxa" w:w="208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Vérification requise</w:t>
            </w:r>
          </w:p>
        </w:tc>
      </w:tr>
      <w:tr>
        <w:tc>
          <w:tcPr>
            <w:tcW w:type="dxa" w:w="10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H09</w:t>
            </w:r>
          </w:p>
        </w:tc>
        <w:tc>
          <w:tcPr>
            <w:tcW w:type="dxa" w:w="27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Coût modèles, outils et support par abonné Premium et par mois</w:t>
            </w:r>
          </w:p>
        </w:tc>
        <w:tc>
          <w:tcPr>
            <w:tcW w:type="dxa" w:w="147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4,16 €</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Estimation (ce classeur)</w:t>
            </w:r>
          </w:p>
        </w:tc>
        <w:tc>
          <w:tcPr>
            <w:tcW w:type="dxa" w:w="20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Mesures des missions 1, 5, 3, 4 ; seuil de porte 18 € HT</w:t>
            </w:r>
          </w:p>
        </w:tc>
      </w:tr>
      <w:tr>
        <w:tc>
          <w:tcPr>
            <w:tcW w:type="dxa" w:w="10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H10</w:t>
            </w:r>
          </w:p>
        </w:tc>
        <w:tc>
          <w:tcPr>
            <w:tcW w:type="dxa" w:w="27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Missions visibles par abonné Premium et par mois</w:t>
            </w:r>
          </w:p>
        </w:tc>
        <w:tc>
          <w:tcPr>
            <w:tcW w:type="dxa" w:w="147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57</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Hypothèse d'usage</w:t>
            </w:r>
          </w:p>
        </w:tc>
        <w:tc>
          <w:tcPr>
            <w:tcW w:type="dxa" w:w="20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Comptage pendant le pilote</w:t>
            </w:r>
          </w:p>
        </w:tc>
      </w:tr>
      <w:tr>
        <w:tc>
          <w:tcPr>
            <w:tcW w:type="dxa" w:w="10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H11</w:t>
            </w:r>
          </w:p>
        </w:tc>
        <w:tc>
          <w:tcPr>
            <w:tcW w:type="dxa" w:w="27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Coût d'une réservation (M3, M4) par exécution</w:t>
            </w:r>
          </w:p>
        </w:tc>
        <w:tc>
          <w:tcPr>
            <w:tcW w:type="dxa" w:w="147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1,00 € et 0,68 €</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Estimation</w:t>
            </w:r>
          </w:p>
        </w:tc>
        <w:tc>
          <w:tcPr>
            <w:tcW w:type="dxa" w:w="20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30 exécutions par plateforme ; seuil 3 €</w:t>
            </w:r>
          </w:p>
        </w:tc>
      </w:tr>
      <w:tr>
        <w:tc>
          <w:tcPr>
            <w:tcW w:type="dxa" w:w="10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H12</w:t>
            </w:r>
          </w:p>
        </w:tc>
        <w:tc>
          <w:tcPr>
            <w:tcW w:type="dxa" w:w="27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Taux de réussite sans correction des réservations</w:t>
            </w:r>
          </w:p>
        </w:tc>
        <w:tc>
          <w:tcPr>
            <w:tcW w:type="dxa" w:w="147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65 à 70 %</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Estimation bornée par les benchmarks publics</w:t>
            </w:r>
          </w:p>
        </w:tc>
        <w:tc>
          <w:tcPr>
            <w:tcW w:type="dxa" w:w="20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Seuil de porte 60 %</w:t>
            </w:r>
          </w:p>
        </w:tc>
      </w:tr>
      <w:tr>
        <w:tc>
          <w:tcPr>
            <w:tcW w:type="dxa" w:w="10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H13</w:t>
            </w:r>
          </w:p>
        </w:tc>
        <w:tc>
          <w:tcPr>
            <w:tcW w:type="dxa" w:w="27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Coût d'activation par nouvel abonné</w:t>
            </w:r>
          </w:p>
        </w:tc>
        <w:tc>
          <w:tcPr>
            <w:tcW w:type="dxa" w:w="147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0,16 €</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Estimation</w:t>
            </w:r>
          </w:p>
        </w:tc>
        <w:tc>
          <w:tcPr>
            <w:tcW w:type="dxa" w:w="20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À rattacher au CAC</w:t>
            </w:r>
          </w:p>
        </w:tc>
      </w:tr>
      <w:tr>
        <w:tc>
          <w:tcPr>
            <w:tcW w:type="dxa" w:w="10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H14</w:t>
            </w:r>
          </w:p>
        </w:tc>
        <w:tc>
          <w:tcPr>
            <w:tcW w:type="dxa" w:w="27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Hébergement et services par abonné et par mois</w:t>
            </w:r>
          </w:p>
        </w:tc>
        <w:tc>
          <w:tcPr>
            <w:tcW w:type="dxa" w:w="147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1,50 € à partir de 300 abonnés ; 4 à 5 € en dessous</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Calcul sur prix publics</w:t>
            </w:r>
          </w:p>
        </w:tc>
        <w:tc>
          <w:tcPr>
            <w:tcW w:type="dxa" w:w="20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Factures Scaleway et services</w:t>
            </w:r>
          </w:p>
        </w:tc>
      </w:tr>
      <w:tr>
        <w:tc>
          <w:tcPr>
            <w:tcW w:type="dxa" w:w="10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H15</w:t>
            </w:r>
          </w:p>
        </w:tc>
        <w:tc>
          <w:tcPr>
            <w:tcW w:type="dxa" w:w="27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Frais de paiement par abonné Premium</w:t>
            </w:r>
          </w:p>
        </w:tc>
        <w:tc>
          <w:tcPr>
            <w:tcW w:type="dxa" w:w="147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2,38 €</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Prix publics Stripe (carte EEE, Billing, Tax)</w:t>
            </w:r>
          </w:p>
        </w:tc>
        <w:tc>
          <w:tcPr>
            <w:tcW w:type="dxa" w:w="20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1,30 € par prélèvement SEPA</w:t>
            </w:r>
          </w:p>
        </w:tc>
      </w:tr>
      <w:tr>
        <w:tc>
          <w:tcPr>
            <w:tcW w:type="dxa" w:w="10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H16</w:t>
            </w:r>
          </w:p>
        </w:tc>
        <w:tc>
          <w:tcPr>
            <w:tcW w:type="dxa" w:w="27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Budget MVP HT</w:t>
            </w:r>
          </w:p>
        </w:tc>
        <w:tc>
          <w:tcPr>
            <w:tcW w:type="dxa" w:w="147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126 788 € (Lean) à 152 720 € (Confort)</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Estimation de jours × taux du marché</w:t>
            </w:r>
          </w:p>
        </w:tc>
        <w:tc>
          <w:tcPr>
            <w:tcW w:type="dxa" w:w="20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Devis après D-01</w:t>
            </w:r>
          </w:p>
        </w:tc>
      </w:tr>
      <w:tr>
        <w:tc>
          <w:tcPr>
            <w:tcW w:type="dxa" w:w="10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H17</w:t>
            </w:r>
          </w:p>
        </w:tc>
        <w:tc>
          <w:tcPr>
            <w:tcW w:type="dxa" w:w="27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Prestation externe de développement</w:t>
            </w:r>
          </w:p>
        </w:tc>
        <w:tc>
          <w:tcPr>
            <w:tcW w:type="dxa" w:w="147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128 jours</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Estimation</w:t>
            </w:r>
          </w:p>
        </w:tc>
        <w:tc>
          <w:tcPr>
            <w:tcW w:type="dxa" w:w="20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Devis</w:t>
            </w:r>
          </w:p>
        </w:tc>
      </w:tr>
      <w:tr>
        <w:tc>
          <w:tcPr>
            <w:tcW w:type="dxa" w:w="10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H18</w:t>
            </w:r>
          </w:p>
        </w:tc>
        <w:tc>
          <w:tcPr>
            <w:tcW w:type="dxa" w:w="27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Délai de vérification OAuth Google</w:t>
            </w:r>
          </w:p>
        </w:tc>
        <w:tc>
          <w:tcPr>
            <w:tcW w:type="dxa" w:w="147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4 à 8 semaines après dépôt</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Documentation Google et retours publics</w:t>
            </w:r>
          </w:p>
        </w:tc>
        <w:tc>
          <w:tcPr>
            <w:tcW w:type="dxa" w:w="20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Date de dépôt et d'accord</w:t>
            </w:r>
          </w:p>
        </w:tc>
      </w:tr>
    </w:tbl>
    <w:p>
      <w:pPr>
        <w:spacing w:after="40"/>
      </w:pPr>
    </w:p>
    <w:p>
      <w:r>
        <w:br w:type="page"/>
      </w:r>
    </w:p>
    <w:p>
      <w:pPr>
        <w:pStyle w:val="Heading1"/>
        <w:pBdr>
          <w:bottom w:val="single" w:sz="10" w:space="4" w:color="F0916A"/>
        </w:pBdr>
      </w:pPr>
      <w:r>
        <w:t>10. Décisions attendues</w:t>
      </w:r>
    </w:p>
    <w:tbl>
      <w:tblPr>
        <w:tblW w:type="auto" w:w="0"/>
        <w:jc w:val="center"/>
        <w:tblLayout w:type="fixed"/>
        <w:tblLook w:firstColumn="1" w:firstRow="1" w:lastColumn="0" w:lastRow="0" w:noHBand="0" w:noVBand="1" w:val="04A0"/>
      </w:tblPr>
      <w:tblGrid>
        <w:gridCol w:w="1251"/>
        <w:gridCol w:w="5088"/>
        <w:gridCol w:w="1251"/>
        <w:gridCol w:w="1822"/>
      </w:tblGrid>
      <w:tr>
        <w:tc>
          <w:tcPr>
            <w:tcW w:type="dxa" w:w="125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Décision</w:t>
            </w:r>
          </w:p>
        </w:tc>
        <w:tc>
          <w:tcPr>
            <w:tcW w:type="dxa" w:w="508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Contenu</w:t>
            </w:r>
          </w:p>
        </w:tc>
        <w:tc>
          <w:tcPr>
            <w:tcW w:type="dxa" w:w="125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Qui</w:t>
            </w:r>
          </w:p>
        </w:tc>
        <w:tc>
          <w:tcPr>
            <w:tcW w:type="dxa" w:w="182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Quand</w:t>
            </w:r>
          </w:p>
        </w:tc>
      </w:tr>
      <w:tr>
        <w:tc>
          <w:tcPr>
            <w:tcW w:type="dxa" w:w="12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A1 à A8</w:t>
            </w:r>
          </w:p>
        </w:tc>
        <w:tc>
          <w:tcPr>
            <w:tcW w:type="dxa" w:w="508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Les huit arbitrages de la réponse en bref</w:t>
            </w:r>
          </w:p>
        </w:tc>
        <w:tc>
          <w:tcPr>
            <w:tcW w:type="dxa" w:w="12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Voir tableau</w:t>
            </w:r>
          </w:p>
        </w:tc>
        <w:tc>
          <w:tcPr>
            <w:tcW w:type="dxa" w:w="1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Prochaine séance d'équipe</w:t>
            </w:r>
          </w:p>
        </w:tc>
      </w:tr>
      <w:tr>
        <w:tc>
          <w:tcPr>
            <w:tcW w:type="dxa" w:w="12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D-01</w:t>
            </w:r>
          </w:p>
        </w:tc>
        <w:tc>
          <w:tcPr>
            <w:tcW w:type="dxa" w:w="508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Nature du projet, fondateurs, propriété intellectuelle (préalable à tout devis et à la vérification Google)</w:t>
            </w:r>
          </w:p>
        </w:tc>
        <w:tc>
          <w:tcPr>
            <w:tcW w:type="dxa" w:w="12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Les six</w:t>
            </w:r>
          </w:p>
        </w:tc>
        <w:tc>
          <w:tcPr>
            <w:tcW w:type="dxa" w:w="1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Semaine du 3 novembre</w:t>
            </w:r>
          </w:p>
        </w:tc>
      </w:tr>
      <w:tr>
        <w:tc>
          <w:tcPr>
            <w:tcW w:type="dxa" w:w="12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D-02</w:t>
            </w:r>
          </w:p>
        </w:tc>
        <w:tc>
          <w:tcPr>
            <w:tcW w:type="dxa" w:w="508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Nom et domaine (préalable à la vérification Google, à la politique de confidentialité publiée, à Stripe)</w:t>
            </w:r>
          </w:p>
        </w:tc>
        <w:tc>
          <w:tcPr>
            <w:tcW w:type="dxa" w:w="12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Alice, Malik</w:t>
            </w:r>
          </w:p>
        </w:tc>
        <w:tc>
          <w:tcPr>
            <w:tcW w:type="dxa" w:w="1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Avant le 15 novembre</w:t>
            </w:r>
          </w:p>
        </w:tc>
      </w:tr>
      <w:tr>
        <w:tc>
          <w:tcPr>
            <w:tcW w:type="dxa" w:w="12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D-03</w:t>
            </w:r>
          </w:p>
        </w:tc>
        <w:tc>
          <w:tcPr>
            <w:tcW w:type="dxa" w:w="508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Seuils du pilote, y compris le seuil de coût par mission (0,30 €) et de coût variable (18 € HT)</w:t>
            </w:r>
          </w:p>
        </w:tc>
        <w:tc>
          <w:tcPr>
            <w:tcW w:type="dxa" w:w="12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Steve, Sébastien</w:t>
            </w:r>
          </w:p>
        </w:tc>
        <w:tc>
          <w:tcPr>
            <w:tcW w:type="dxa" w:w="18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Avant le 3 décembre</w:t>
            </w:r>
          </w:p>
        </w:tc>
      </w:tr>
    </w:tbl>
    <w:p>
      <w:pPr>
        <w:spacing w:after="40"/>
      </w:pPr>
    </w:p>
    <w:p>
      <w:r>
        <w:br w:type="page"/>
      </w:r>
    </w:p>
    <w:p>
      <w:pPr>
        <w:pStyle w:val="Heading1"/>
        <w:pBdr>
          <w:bottom w:val="single" w:sz="10" w:space="4" w:color="F0916A"/>
        </w:pBdr>
      </w:pPr>
      <w:r>
        <w:t>Annexe A. Sources des prix, des benchmarks et des taux</w:t>
      </w:r>
    </w:p>
    <w:p>
      <w:pPr>
        <w:pStyle w:val="Heading2"/>
      </w:pPr>
      <w:r>
        <w:t>A.1 Prix unitaires des modèles et des outils (onglet Tarifs du classeur)</w:t>
      </w:r>
    </w:p>
    <w:tbl>
      <w:tblPr>
        <w:tblW w:type="auto" w:w="0"/>
        <w:jc w:val="center"/>
        <w:tblLayout w:type="fixed"/>
        <w:tblLook w:firstColumn="1" w:firstRow="1" w:lastColumn="0" w:lastRow="0" w:noHBand="0" w:noVBand="1" w:val="04A0"/>
      </w:tblPr>
      <w:tblGrid>
        <w:gridCol w:w="2482"/>
        <w:gridCol w:w="1277"/>
        <w:gridCol w:w="1082"/>
        <w:gridCol w:w="3391"/>
        <w:gridCol w:w="1180"/>
      </w:tblGrid>
      <w:tr>
        <w:tc>
          <w:tcPr>
            <w:tcW w:type="dxa" w:w="248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Poste</w:t>
            </w:r>
          </w:p>
        </w:tc>
        <w:tc>
          <w:tcPr>
            <w:tcW w:type="dxa" w:w="127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Valeur</w:t>
            </w:r>
          </w:p>
        </w:tc>
        <w:tc>
          <w:tcPr>
            <w:tcW w:type="dxa" w:w="108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Nature</w:t>
            </w:r>
          </w:p>
        </w:tc>
        <w:tc>
          <w:tcPr>
            <w:tcW w:type="dxa" w:w="339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Source</w:t>
            </w:r>
          </w:p>
        </w:tc>
        <w:tc>
          <w:tcPr>
            <w:tcW w:type="dxa" w:w="118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Date</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Taux de change dollar → euro</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0,877 € par $</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BCE, taux de référence 1 € = 1,1403 $ : https://www.ecb.europa.eu/stats/policy_and_exchange_rates/euro_reference_exchange_rates/html/eurofxref-graph-usd.en.html</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25/09/2026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Petit modèle, entrée (Mistral Small 4, point d'accès UE api.eu.mistral.ai, +10 %)</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0,165 $ / M jetons</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https://docs.mistral.ai/models/pricing (0,15 $) et https://docs.mistral.ai/inference/regional-inference (×1,1)</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Petit modèle, entrée cachée (10 % du prix d'entrée)</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0,0165 $ / M jetons</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https://docs.mistral.ai/models/pricing</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Petit modèle, sortie</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0,66 $ / M jetons</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https://docs.mistral.ai/models/pricing (0,60 $ × 1,1)</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Modèle moyen, entrée (Claude Sonnet 5.5, Amazon Bedrock profil UE, +10 %)</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2,2 $ / M jetons</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https://platform.claude.com/docs/en/about-claude/pricing (2 $) et https://platform.claude.com/docs/en/build-with-claude/claude-in-amazon-bedrock (+10 % régional)</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Modèle moyen, entrée cachée (lecture de cache, 5 % du prix d'entrée)</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0,11 $ / M jetons</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https://platform.claude.com/docs/en/build-with-claude/prompt-caching (0,10 $ × 1,1)</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Modèle moyen, sortie</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11 $ / M jetons</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https://platform.claude.com/docs/en/about-claude/pricing (10 $ × 1,1)</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Modèle frontière, entrée (Claude Opus 5.5, Bedrock profil UE, +10 %)</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4,4 $ / M jetons</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https://platform.claude.com/docs/en/about-claude/pricing (4 $ × 1,1)</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Modèle frontière, entrée cachée</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0,22 $ / M jetons</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https://platform.claude.com/docs/en/about-claude/pricing (0,20 $ × 1,1)</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Modèle frontière, sortie</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22 $ / M jetons</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https://platform.claude.com/docs/en/about-claude/pricing (20 $ × 1,1)</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Embeddings (Mistral Embed, point d'accès UE)</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0,11 $ / M jetons</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https://docs.mistral.ai/models/pricing (0,10 $ × 1,1) ; Scaleway 0,10 €</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Recherche web (Brave Search API)</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0,005 $ / requête</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https://api-dashboard.search.brave.com/documentation/pricing (5 $ pour 1 000 requêtes)</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Google Places API (New) : moyenne d'une recherche textuelle Pro (32 $) et de deux fiches Pro (17 $) pour 1 000</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0,022 $ / requête</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https://developers.google.com/maps/billing-and-pricing/pricing</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Lecture d'une page web (Firecrawl, offre Hobby : 19 $ pour 5 000 pages)</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0,0038 $ / page</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https://www.firecrawl.dev/pricing.md</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Navigateur piloté dans le nuage, infrastructure et proxy résidentiel</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0,012 $ / minute</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Browserbase 0,12 $ par heure-navigateur (https://docs.browserbase.com/account/billing/plans.md) soit 0,002 $/min ; proxy résidentiel 10 $/Go, environ 1 Mo par minute soit 0,01 $/min</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Support humain</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0,5 € / minute</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Hypothèse</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30 € HT de l'heure chargée (fondateur puis customer success)</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Hébergement, stockage, connecteurs, par abonné et par mois</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1,5 € / abonné</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Hypothèse</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Modèle 36 mois, central ; détail dans la réponse au cadrage § 3.5</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Frais de paiement, part variable : carte EEE 1,5 % + Stripe Billing 0,7 % + Stripe Tax 0,5 %</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0,027 %</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https://stripe.com/fr/pricing</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r>
        <w:tc>
          <w:tcPr>
            <w:tcW w:type="dxa" w:w="24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Frais de paiement, part fixe (carte)</w:t>
            </w:r>
          </w:p>
        </w:tc>
        <w:tc>
          <w:tcPr>
            <w:tcW w:type="dxa" w:w="12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0,25 € / transaction</w:t>
            </w:r>
          </w:p>
        </w:tc>
        <w:tc>
          <w:tcPr>
            <w:tcW w:type="dxa" w:w="108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Tarif public</w:t>
            </w:r>
          </w:p>
        </w:tc>
        <w:tc>
          <w:tcPr>
            <w:tcW w:type="dxa" w:w="33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https://stripe.com/fr/pricing</w:t>
            </w:r>
          </w:p>
        </w:tc>
        <w:tc>
          <w:tcPr>
            <w:tcW w:type="dxa" w:w="1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28/10/2026</w:t>
            </w:r>
          </w:p>
        </w:tc>
      </w:tr>
    </w:tbl>
    <w:p>
      <w:pPr>
        <w:spacing w:after="40"/>
      </w:pPr>
    </w:p>
    <w:p>
      <w:pPr>
        <w:pStyle w:val="Heading2"/>
      </w:pPr>
      <w:r>
        <w:t>A.2 Benchmarks publics d'agents (lus les 27 et 28 octobre 2026)</w:t>
      </w:r>
    </w:p>
    <w:tbl>
      <w:tblPr>
        <w:tblW w:type="auto" w:w="0"/>
        <w:jc w:val="center"/>
        <w:tblLayout w:type="fixed"/>
        <w:tblLook w:firstColumn="1" w:firstRow="1" w:lastColumn="0" w:lastRow="0" w:noHBand="0" w:noVBand="1" w:val="04A0"/>
      </w:tblPr>
      <w:tblGrid>
        <w:gridCol w:w="1533"/>
        <w:gridCol w:w="1533"/>
        <w:gridCol w:w="2722"/>
        <w:gridCol w:w="2091"/>
        <w:gridCol w:w="1533"/>
      </w:tblGrid>
      <w:tr>
        <w:tc>
          <w:tcPr>
            <w:tcW w:type="dxa" w:w="153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Benchmark</w:t>
            </w:r>
          </w:p>
        </w:tc>
        <w:tc>
          <w:tcPr>
            <w:tcW w:type="dxa" w:w="153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Ce qu'il mesure</w:t>
            </w:r>
          </w:p>
        </w:tc>
        <w:tc>
          <w:tcPr>
            <w:tcW w:type="dxa" w:w="272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Meilleur résultat vérifié</w:t>
            </w:r>
          </w:p>
        </w:tc>
        <w:tc>
          <w:tcPr>
            <w:tcW w:type="dxa" w:w="209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Lecture pour Helium</w:t>
            </w:r>
          </w:p>
        </w:tc>
        <w:tc>
          <w:tcPr>
            <w:tcW w:type="dxa" w:w="153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Source</w:t>
            </w:r>
          </w:p>
        </w:tc>
      </w:tr>
      <w:tr>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tau2-bench (retail, airline, telecom)</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Agent outillé face à un utilisateur simulé : le proxy le plus proche d'une réservation par API</w:t>
            </w:r>
          </w:p>
        </w:tc>
        <w:tc>
          <w:tcPr>
            <w:tcW w:type="dxa" w:w="27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80 à 98 % de réussite au premier essai pour les meilleurs modèles 2026 ; fiabilité sur quatre essais (pass^4) 52 à 78 % même pour Claude Opus 4.5 ; coût par trajectoire 0,05 à 0,72 $ (Sonnet 4.5 : 0,26 à 0,49 $ ; GPT-5.2 : 0,07 à 0,11 $)</w:t>
            </w:r>
          </w:p>
        </w:tc>
        <w:tc>
          <w:tcPr>
            <w:tcW w:type="dxa" w:w="20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Une réservation par API réussit 8 fois sur 10 au premier essai, mais une sur quatre échouera au moins une fois sur quatre répétitions : reprises et confirmation sont obligatoires</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Sierra, fichiers de soumission publics (manifest.json), [official]</w:t>
            </w:r>
          </w:p>
        </w:tc>
      </w:tr>
      <w:tr>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OSWorld-Verified</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361 tâches réelles sur un bureau Ubuntu, capture d'écran seule</w:t>
            </w:r>
          </w:p>
        </w:tc>
        <w:tc>
          <w:tcPr>
            <w:tcW w:type="dxa" w:w="27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85,96 % pour le meilleur modèle généraliste (claude-fable-5, août 2026 ; humain 72,36 %) ; sous-ensemble Chrome 78 % ; Holo3 (H Company, France) 82,56 %</w:t>
            </w:r>
          </w:p>
        </w:tc>
        <w:tc>
          <w:tcPr>
            <w:tcW w:type="dxa" w:w="20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Le pilotage d'un navigateur est devenu fiable sur des interfaces connues ; les sites non coopératifs restent le problème</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os-world.github.io, fichier de résultats [official]</w:t>
            </w:r>
          </w:p>
        </w:tc>
      </w:tr>
      <w:tr>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WebArena</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812 tâches sur des sites auto-hébergés (commerce, CMS, cartes)</w:t>
            </w:r>
          </w:p>
        </w:tc>
        <w:tc>
          <w:tcPr>
            <w:tcW w:type="dxa" w:w="27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86,1 % (sept. 2026, auto-déclaré) ; OpenAI Operator 58,1 % en janvier 2025</w:t>
            </w:r>
          </w:p>
        </w:tc>
        <w:tc>
          <w:tcPr>
            <w:tcW w:type="dxa" w:w="20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Progression d'un tiers en vingt mois</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webarena.dev [official]</w:t>
            </w:r>
          </w:p>
        </w:tc>
      </w:tr>
      <w:tr>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Online-Mind2Web</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Tâches sur sites réels, jugées par des humains</w:t>
            </w:r>
          </w:p>
        </w:tc>
        <w:tc>
          <w:tcPr>
            <w:tcW w:type="dxa" w:w="27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69 % (Gemini 2.5, sept. 2025) à 92-98 % (agents spécialisés 2026) ; coût par tâche 0,57 $ (SeeAct sur GPT-5) à 5,26 $ (Browser-Use sur Sonnet 4) ; pass@3 : +12 points</w:t>
            </w:r>
          </w:p>
        </w:tc>
        <w:tc>
          <w:tcPr>
            <w:tcW w:type="dxa" w:w="20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La fourchette 60 à 80 % du classeur pour les réservations par navigateur ; le coût par tâche justifie le plafond de minutes</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OSU Online-Mind2Web, HAL [official]</w:t>
            </w:r>
          </w:p>
        </w:tc>
      </w:tr>
      <w:tr>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Essais réels publiés (OpenAI Operator, 10 tentatives par site)</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Recherche, listes, réservation de lieux, formulaires</w:t>
            </w:r>
          </w:p>
        </w:tc>
        <w:tc>
          <w:tcPr>
            <w:tcW w:type="dxa" w:w="27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10/10 (Britannica, Todoist, Spotify), 8/10 avec consignes et 3/10 sans (tagvenue), 3/10 (Redfin), 4/10 (éditeur HTML)</w:t>
            </w:r>
          </w:p>
        </w:tc>
        <w:tc>
          <w:tcPr>
            <w:tcW w:type="dxa" w:w="20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La fiabilité varie selon les sites » : c'est la raison de la liste fermée de plateformes au pilote</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openai.com, janvier 2025 [official]</w:t>
            </w:r>
          </w:p>
        </w:tc>
      </w:tr>
      <w:tr>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AgentDojo et attaques automatisées (injection de prompt)</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Agents de bureau (courriel, agenda) attaqués par du contenu lu</w:t>
            </w:r>
          </w:p>
        </w:tc>
        <w:tc>
          <w:tcPr>
            <w:tcW w:type="dxa" w:w="27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Utilité 88,7 % sans attaque ; injections ciblées réussies 7,3 % (Claude 3.7 Sonnet), 47,7 % (GPT-4o), 6,8 % avec filtre d'outils ; attaques automatisées 2026 (ETH) : 4,5 à 4,7 % par tentative sur GPT-5, environ 30 % sur quatre tentatives ; Claude for Chrome : 23,6 % ramené à 11,2 % avec protections</w:t>
            </w:r>
          </w:p>
        </w:tc>
        <w:tc>
          <w:tcPr>
            <w:tcW w:type="dxa" w:w="20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Sur des milliers de courriels par abonné, 1 % n'est pas un risque résiduel : d'où la séparation lecture et action (§ 4)</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agentdojo, pages de résultats [official]</w:t>
            </w:r>
          </w:p>
        </w:tc>
      </w:tr>
      <w:tr>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Zapier AutomationBench</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Automatisations réelles de bout en bout</w:t>
            </w:r>
          </w:p>
        </w:tc>
        <w:tc>
          <w:tcPr>
            <w:tcW w:type="dxa" w:w="272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31,4 % (Claude Fable 5.1, sept. 2026)</w:t>
            </w:r>
          </w:p>
        </w:tc>
        <w:tc>
          <w:tcPr>
            <w:tcW w:type="dxa" w:w="20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Les enchaînements longs échouent encore souvent : missions courtes, étapes vérifiées</w:t>
            </w:r>
          </w:p>
        </w:tc>
        <w:tc>
          <w:tcPr>
            <w:tcW w:type="dxa" w:w="15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anthropic.com [official]</w:t>
            </w:r>
          </w:p>
        </w:tc>
      </w:tr>
    </w:tbl>
    <w:p>
      <w:pPr>
        <w:spacing w:after="40"/>
      </w:pPr>
    </w:p>
    <w:p>
      <w:r>
        <w:t>Aucun éditeur (OpenAI, Anthropic, Google, Perplexity, Amazon) ne publie de taux de réussite en production pour une réservation de restaurant ou de rendez-vous ; les seules mesures sur sites réels sont les essais Operator et Online-Mind2Web ci-dessus. Les taux de réussite du classeur (65 % rendez-vous, 70 % restaurant, 75 % déplacement, 80 à 95 % lecture et rédaction) sont posés dans ces fourchettes et restent « non mesurés ».</w:t>
      </w:r>
    </w:p>
    <w:p>
      <w:pPr>
        <w:pStyle w:val="Heading2"/>
      </w:pPr>
      <w:r>
        <w:t>A.3 Taux journaliers et coûts du marché français 2026 (onglet Plan de charge)</w:t>
      </w:r>
    </w:p>
    <w:tbl>
      <w:tblPr>
        <w:tblW w:type="auto" w:w="0"/>
        <w:jc w:val="center"/>
        <w:tblLayout w:type="fixed"/>
        <w:tblLook w:firstColumn="1" w:firstRow="1" w:lastColumn="0" w:lastRow="0" w:noHBand="0" w:noVBand="1" w:val="04A0"/>
      </w:tblPr>
      <w:tblGrid>
        <w:gridCol w:w="1599"/>
        <w:gridCol w:w="909"/>
        <w:gridCol w:w="6904"/>
      </w:tblGrid>
      <w:tr>
        <w:tc>
          <w:tcPr>
            <w:tcW w:type="dxa" w:w="159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Profil</w:t>
            </w:r>
          </w:p>
        </w:tc>
        <w:tc>
          <w:tcPr>
            <w:tcW w:type="dxa" w:w="90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Taux retenu (€ HT / jour)</w:t>
            </w:r>
          </w:p>
        </w:tc>
        <w:tc>
          <w:tcPr>
            <w:tcW w:type="dxa" w:w="690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Fourchette et source</w:t>
            </w:r>
          </w:p>
        </w:tc>
      </w:tr>
      <w:tr>
        <w:tc>
          <w:tcPr>
            <w:tcW w:type="dxa" w:w="15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Développeur full-stack senior</w:t>
            </w:r>
          </w:p>
        </w:tc>
        <w:tc>
          <w:tcPr>
            <w:tcW w:type="dxa" w:w="9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650</w:t>
            </w:r>
          </w:p>
        </w:tc>
        <w:tc>
          <w:tcPr>
            <w:tcW w:type="dxa" w:w="6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Hays 2026, Paris, 8 ans et plus : 650 (via Blog du Modérateur, janv. 2026) ; Paris confirmé 550 à 680, senior 670 et plus (La Fabrique du Net, juil. 2026) ; médiane nationale environ 485 (freelance-solution.fr, juin 2026). Sources secondaires : le baromètre Malt 2026 n'existe pas comme document</w:t>
            </w:r>
          </w:p>
        </w:tc>
      </w:tr>
      <w:tr>
        <w:tc>
          <w:tcPr>
            <w:tcW w:type="dxa" w:w="15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Ingénieur IA / LLM</w:t>
            </w:r>
          </w:p>
        </w:tc>
        <w:tc>
          <w:tcPr>
            <w:tcW w:type="dxa" w:w="9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800</w:t>
            </w:r>
          </w:p>
        </w:tc>
        <w:tc>
          <w:tcPr>
            <w:tcW w:type="dxa" w:w="6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Malt Tech Trends 2025 (données 2024, moyennes européennes) : expert 670 à 750, moyenne 540 contre 400 hors IA [official, Malt] ; Michael Page Île-de-France : 600 à 1 000 [secondary]</w:t>
            </w:r>
          </w:p>
        </w:tc>
      </w:tr>
      <w:tr>
        <w:tc>
          <w:tcPr>
            <w:tcW w:type="dxa" w:w="15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Product designer UX/UI</w:t>
            </w:r>
          </w:p>
        </w:tc>
        <w:tc>
          <w:tcPr>
            <w:tcW w:type="dxa" w:w="9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550</w:t>
            </w:r>
          </w:p>
        </w:tc>
        <w:tc>
          <w:tcPr>
            <w:tcW w:type="dxa" w:w="6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450 à 700, médiane environ 510 (freelance-solution.fr) ; moyenne 423 (Kicklox / RH Solutions, déc. 2025)</w:t>
            </w:r>
          </w:p>
        </w:tc>
      </w:tr>
      <w:tr>
        <w:tc>
          <w:tcPr>
            <w:tcW w:type="dxa" w:w="15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Pentest (jour d'auditeur)</w:t>
            </w:r>
          </w:p>
        </w:tc>
        <w:tc>
          <w:tcPr>
            <w:tcW w:type="dxa" w:w="9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1 150</w:t>
            </w:r>
          </w:p>
        </w:tc>
        <w:tc>
          <w:tcPr>
            <w:tcW w:type="dxa" w:w="6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900 à 1 500 (Kolonell, oct. 2026, source fournisseur) ; pentest boîte grise application et API : 8 000 à 12 000 € plus contre-test 1 000 à 2 500 € ; délai 1 à 4 semaines hors PASSI</w:t>
            </w:r>
          </w:p>
        </w:tc>
      </w:tr>
      <w:tr>
        <w:tc>
          <w:tcPr>
            <w:tcW w:type="dxa" w:w="15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Consultant RGPD / AIPD</w:t>
            </w:r>
          </w:p>
        </w:tc>
        <w:tc>
          <w:tcPr>
            <w:tcW w:type="dxa" w:w="9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850</w:t>
            </w:r>
          </w:p>
        </w:tc>
        <w:tc>
          <w:tcPr>
            <w:tcW w:type="dxa" w:w="6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Tarifs illustratifs 800 à 900 (Legiscope, donneespersonnelles.fr) ; aucun barème publié ; AIPD estimée 4 à 8 jours, soit 3 200 à 7 200 € (non vérifié)</w:t>
            </w:r>
          </w:p>
        </w:tc>
      </w:tr>
      <w:tr>
        <w:tc>
          <w:tcPr>
            <w:tcW w:type="dxa" w:w="159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Premier ingénieur salarié, 55 000 € brut</w:t>
            </w:r>
          </w:p>
        </w:tc>
        <w:tc>
          <w:tcPr>
            <w:tcW w:type="dxa" w:w="9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6 490 € par mois chargé</w:t>
            </w:r>
          </w:p>
        </w:tc>
        <w:tc>
          <w:tcPr>
            <w:tcW w:type="dxa" w:w="69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Taux employeur 2026 (Cleiss, Agirc-Arrco, réduction générale 2026) : coût 1,42 fois le brut ; 5 345 € par mois avec l'exonération JEI (1,17 fois le brut). Cohérent avec l'embauche 2 du modèle 36 mois (6 500 €)</w:t>
            </w:r>
          </w:p>
        </w:tc>
      </w:tr>
    </w:tbl>
    <w:p>
      <w:pPr>
        <w:spacing w:after="40"/>
      </w:pPr>
    </w:p>
    <w:p>
      <w:pPr>
        <w:pStyle w:val="Heading2"/>
      </w:pPr>
      <w:r>
        <w:t>A.4 Dispositifs publics utiles au budget MVP (lus le 28 octobre 2026)</w:t>
      </w:r>
    </w:p>
    <w:tbl>
      <w:tblPr>
        <w:tblW w:type="auto" w:w="0"/>
        <w:jc w:val="center"/>
        <w:tblLayout w:type="fixed"/>
        <w:tblLook w:firstColumn="1" w:firstRow="1" w:lastColumn="0" w:lastRow="0" w:noHBand="0" w:noVBand="1" w:val="04A0"/>
      </w:tblPr>
      <w:tblGrid>
        <w:gridCol w:w="1393"/>
        <w:gridCol w:w="5092"/>
        <w:gridCol w:w="2927"/>
      </w:tblGrid>
      <w:tr>
        <w:tc>
          <w:tcPr>
            <w:tcW w:type="dxa" w:w="139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Dispositif</w:t>
            </w:r>
          </w:p>
        </w:tc>
        <w:tc>
          <w:tcPr>
            <w:tcW w:type="dxa" w:w="509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Montant et conditions</w:t>
            </w:r>
          </w:p>
        </w:tc>
        <w:tc>
          <w:tcPr>
            <w:tcW w:type="dxa" w:w="292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Effet pour Helium</w:t>
            </w:r>
          </w:p>
        </w:tc>
      </w:tr>
      <w:tr>
        <w:tc>
          <w:tcPr>
            <w:tcW w:type="dxa" w:w="13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Bourse French Tech (Bpifrance)</w:t>
            </w:r>
          </w:p>
        </w:tc>
        <w:tc>
          <w:tcPr>
            <w:tcW w:type="dxa" w:w="509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Subvention jusqu'à 70 % des dépenses éligibles, plafonnée à 30 000 € ; société de moins d'un an, moins de 50 salariés ; dépenses engagées avant le dépôt non retenues ; deux versements. Paramètres confirmés sur deux sources secondaires seulement (bpifrance.fr inaccessible depuis l'environnement de recherche)</w:t>
            </w:r>
          </w:p>
        </w:tc>
        <w:tc>
          <w:tcPr>
            <w:tcW w:type="dxa" w:w="29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Jusqu'à 30 000 € sur les études, la conception, le juridique et les prestations du MVP ; suppose D-01 et la société constituée avant d'engager les dépenses</w:t>
            </w:r>
          </w:p>
        </w:tc>
      </w:tr>
      <w:tr>
        <w:tc>
          <w:tcPr>
            <w:tcW w:type="dxa" w:w="13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Prêt d'amorçage Bpifrance « Préparer la levée »</w:t>
            </w:r>
          </w:p>
        </w:tc>
        <w:tc>
          <w:tcPr>
            <w:tcW w:type="dxa" w:w="509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50 000 à 100 000 €, 8 ans dont 3 de différé, sans garantie personnelle ; PME innovante de moins de 5 ans ayant reçu une aide à l'innovation (comme la BFT) ; levée en préparation</w:t>
            </w:r>
          </w:p>
        </w:tc>
        <w:tc>
          <w:tcPr>
            <w:tcW w:type="dxa" w:w="29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 relais naturel après la BFT, pour le besoin de 170 k€ du scénario central</w:t>
            </w:r>
          </w:p>
        </w:tc>
      </w:tr>
      <w:tr>
        <w:tc>
          <w:tcPr>
            <w:tcW w:type="dxa" w:w="13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Jeune entreprise innovante</w:t>
            </w:r>
          </w:p>
        </w:tc>
        <w:tc>
          <w:tcPr>
            <w:tcW w:type="dxa" w:w="509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Dépenses de R&amp;D d'au moins 20 % des charges ; exonération de cotisations patronales d'assurances sociales et d'allocations familiales sur le personnel de R&amp;D jusqu'à 8 401,58 € par mois ; plus d'exonération d'impôt sur les sociétés pour les JEI créées depuis 2024</w:t>
            </w:r>
          </w:p>
        </w:tc>
        <w:tc>
          <w:tcPr>
            <w:tcW w:type="dxa" w:w="29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Environ 13 800 € par an économisés sur un ingénieur à 55 k€ ; aucun effet sur les prestations externes du MVP</w:t>
            </w:r>
          </w:p>
        </w:tc>
      </w:tr>
      <w:tr>
        <w:tc>
          <w:tcPr>
            <w:tcW w:type="dxa" w:w="13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Crédit d'impôt innovation</w:t>
            </w:r>
          </w:p>
        </w:tc>
        <w:tc>
          <w:tcPr>
            <w:tcW w:type="dxa" w:w="509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20 % des dépenses de prototype d'un produit nouveau, PME, plafond 400 000 € par an, jusqu'au 31 décembre 2027 ; remboursement immédiat pour les entreprises de moins de 2 ans</w:t>
            </w:r>
          </w:p>
        </w:tc>
        <w:tc>
          <w:tcPr>
            <w:tcW w:type="dxa" w:w="29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Environ 20 % des dépenses éligibles du MVP, en trésorerie l'année suivante</w:t>
            </w:r>
          </w:p>
        </w:tc>
      </w:tr>
      <w:tr>
        <w:tc>
          <w:tcPr>
            <w:tcW w:type="dxa" w:w="13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Incubateur HEC Paris à Station F</w:t>
            </w:r>
          </w:p>
        </w:tc>
        <w:tc>
          <w:tcPr>
            <w:tcW w:type="dxa" w:w="509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300 € par poste et par mois, +40 € par trimestre ; programme de 4 mois extensible ; trois appels par an (candidature début février pour mai)</w:t>
            </w:r>
          </w:p>
        </w:tc>
        <w:tc>
          <w:tcPr>
            <w:tcW w:type="dxa" w:w="29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Environ 12 000 € HT par an pour trois postes ; à arbitrer contre le travail à distance</w:t>
            </w:r>
          </w:p>
        </w:tc>
      </w:tr>
    </w:tbl>
    <w:p>
      <w:pPr>
        <w:spacing w:after="40"/>
      </w:pPr>
    </w:p>
    <w:p>
      <w:r>
        <w:t xml:space="preserve">Sources complètes, avec URL et date, dans </w:t>
      </w:r>
      <w:r>
        <w:rPr>
          <w:rFonts w:ascii="Consolas" w:hAnsi="Consolas" w:eastAsia="Consolas"/>
        </w:rPr>
        <w:t>Technique/2026 1028 References prix et benchmarks.md</w:t>
      </w:r>
      <w:r>
        <w:t>, partie 3.</w:t>
      </w:r>
    </w:p>
    <w:p>
      <w:r>
        <w:br w:type="page"/>
      </w:r>
    </w:p>
    <w:p>
      <w:pPr>
        <w:pStyle w:val="Heading1"/>
        <w:pBdr>
          <w:bottom w:val="single" w:sz="10" w:space="4" w:color="F0916A"/>
        </w:pBdr>
      </w:pPr>
      <w:r>
        <w:t>Annexe B. Protocole de mesure du coût par mission pendant le pilote</w:t>
      </w:r>
    </w:p>
    <w:p>
      <w:pPr>
        <w:spacing w:after="60"/>
        <w:ind w:left="425" w:hanging="425"/>
      </w:pPr>
      <w:r>
        <w:rPr>
          <w:b/>
        </w:rPr>
        <w:t>1.</w:t>
        <w:tab/>
      </w:r>
      <w:r>
        <w:rPr>
          <w:b/>
        </w:rPr>
        <w:t>Instrumentation.</w:t>
      </w:r>
      <w:r>
        <w:t xml:space="preserve"> Chaque appel de modèle est tracé avec mission, étape, palier, jetons entrants (cachés et non cachés), jetons sortants, durée, coût calculé au prix du jour ; chaque appel d'outil avec son type et son coût ; chaque session de navigateur piloté avec ses minutes et son issue. L'identifiant de mission relie tout.</w:t>
      </w:r>
    </w:p>
    <w:p>
      <w:pPr>
        <w:spacing w:after="60"/>
        <w:ind w:left="425" w:hanging="425"/>
      </w:pPr>
      <w:r>
        <w:rPr>
          <w:b/>
        </w:rPr>
        <w:t>2.</w:t>
        <w:tab/>
      </w:r>
      <w:r>
        <w:rPr>
          <w:b/>
        </w:rPr>
        <w:t>Définition d'une exécution réussie.</w:t>
      </w:r>
      <w:r>
        <w:t xml:space="preserve"> Mission terminée sans correction de l'utilisateur et sans intervention humaine de l'équipe ; une exécution corrigée par l'utilisateur compte comme « réussie avec correction » ; une exécution reprise par l'équipe compte comme échec avec support.</w:t>
      </w:r>
    </w:p>
    <w:p>
      <w:pPr>
        <w:spacing w:after="60"/>
        <w:ind w:left="425" w:hanging="425"/>
      </w:pPr>
      <w:r>
        <w:rPr>
          <w:b/>
        </w:rPr>
        <w:t>3.</w:t>
        <w:tab/>
      </w:r>
      <w:r>
        <w:rPr>
          <w:b/>
        </w:rPr>
        <w:t>Ordre des mesures.</w:t>
      </w:r>
      <w:r>
        <w:t xml:space="preserve"> Missions 1 et 5 (la plus fréquente et la plus coûteuse en jetons) sur l'équipe elle-même du 10 novembre au 3 décembre ; missions 3 et 4 (les plus incertaines) avant le 19 décembre ; les six autres pendant le pilote de janvier.</w:t>
      </w:r>
    </w:p>
    <w:p>
      <w:pPr>
        <w:spacing w:after="60"/>
        <w:ind w:left="425" w:hanging="425"/>
      </w:pPr>
      <w:r>
        <w:rPr>
          <w:b/>
        </w:rPr>
        <w:t>4.</w:t>
        <w:tab/>
      </w:r>
      <w:r>
        <w:rPr>
          <w:b/>
        </w:rPr>
        <w:t>Taille d'échantillon.</w:t>
      </w:r>
      <w:r>
        <w:t xml:space="preserve"> Au moins 30 exécutions par mission avant de remplacer une hypothèse du classeur ; pour les missions à 0,5 exécution par mois, forcer des exécutions de test.</w:t>
      </w:r>
    </w:p>
    <w:p>
      <w:pPr>
        <w:spacing w:after="60"/>
        <w:ind w:left="425" w:hanging="425"/>
      </w:pPr>
      <w:r>
        <w:rPr>
          <w:b/>
        </w:rPr>
        <w:t>5.</w:t>
        <w:tab/>
      </w:r>
      <w:r>
        <w:rPr>
          <w:b/>
        </w:rPr>
        <w:t>Restitution.</w:t>
      </w:r>
      <w:r>
        <w:t xml:space="preserve"> Chaque semaine, Isaac publie dans </w:t>
      </w:r>
      <w:r>
        <w:rPr>
          <w:rFonts w:ascii="Consolas" w:hAnsi="Consolas" w:eastAsia="Consolas"/>
        </w:rPr>
        <w:t>6 OPERATIONS/TECHNIQUE/</w:t>
      </w:r>
      <w:r>
        <w:t xml:space="preserve"> le coût moyen, le taux de réussite et le nombre d'exécutions par mission ; Sébastien remplace les cellules bleues correspondantes ; l'écart avec l'hypothèse est commenté.</w:t>
      </w:r>
    </w:p>
    <w:p>
      <w:pPr>
        <w:spacing w:after="60"/>
        <w:ind w:left="425" w:hanging="425"/>
      </w:pPr>
      <w:r>
        <w:rPr>
          <w:b/>
        </w:rPr>
        <w:t>6.</w:t>
        <w:tab/>
      </w:r>
      <w:r>
        <w:rPr>
          <w:b/>
        </w:rPr>
        <w:t>Seuils de la porte J+90.</w:t>
      </w:r>
      <w:r>
        <w:t xml:space="preserve"> Coût variable mesuré par abonné Premium inférieur ou égal à 18 € HT ; coût par mission à navigateur piloté inférieur ou égal à 3 € ; taux de réussite sans correction supérieur ou égal à 80 % sur les missions de lecture et de rédaction, 60 % sur les missions de réservation ; zéro action sans mandat.</w:t>
      </w:r>
    </w:p>
    <w:sectPr w:rsidR="00FC693F" w:rsidRPr="0006063C" w:rsidSect="00034616">
      <w:headerReference w:type="default" r:id="rId9"/>
      <w:footerReference w:type="default" r:id="rId10"/>
      <w:pgSz w:w="11906" w:h="16838"/>
      <w:pgMar w:top="1134" w:right="1247" w:bottom="1020" w:left="124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8A8178"/>
        <w:sz w:val="16"/>
      </w:rPr>
      <w:t xml:space="preserve">Page </w:t>
    </w:r>
    <w:fldSimple w:instr="PAGE">
      <w:r>
        <w:t>1</w:t>
      </w:r>
    </w:fldSimple>
  </w:p>
  <w:p>
    <w:r>
      <w:rPr>
        <w:color w:val="8A8178"/>
        <w:sz w:val="15"/>
      </w:rPr>
      <w:t>HEC GEMM Group 4  ·  Document de travail, hypothèses à valider  ·  Ne pas diffuser hors équipe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8A8178"/>
        <w:sz w:val="16"/>
      </w:rPr>
      <w:t>Helium  ·  Helium, réponse au cadrage Produit et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201C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eastAsia="Georgia" w:cs="Georgia"/>
      <w:b w:val="0"/>
      <w:bCs/>
      <w:color w:val="201C1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eastAsia="Georgia" w:cs="Georgia"/>
      <w:b/>
      <w:bCs/>
      <w:color w:val="201C19"/>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D973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