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rFonts w:ascii="Arial" w:cs="Arial" w:eastAsia="Arial" w:hAnsi="Arial"/>
          <w:sz w:val="22"/>
          <w:szCs w:val="22"/>
        </w:rPr>
        <w:t xml:space="preserve">Île-de-France, le 7 mai 2026</w:t>
      </w:r>
    </w:p>
    <w:p>
      <w:pPr>
        <w:spacing w:after="160"/>
      </w:pPr>
      <w:r>
        <w:rPr>
          <w:rFonts w:ascii="Arial" w:cs="Arial" w:eastAsia="Arial" w:hAnsi="Arial"/>
          <w:sz w:val="22"/>
          <w:szCs w:val="22"/>
        </w:rPr>
        <w:t xml:space="preserve">Maître [Nom]</w:t>
      </w:r>
    </w:p>
    <w:p>
      <w:pPr>
        <w:spacing w:after="160"/>
      </w:pPr>
      <w:r>
        <w:rPr>
          <w:rFonts w:ascii="Arial" w:cs="Arial" w:eastAsia="Arial" w:hAnsi="Arial"/>
          <w:sz w:val="22"/>
          <w:szCs w:val="22"/>
        </w:rPr>
        <w:t xml:space="preserve">[Cabinet]</w:t>
      </w:r>
    </w:p>
    <w:p>
      <w:pPr>
        <w:spacing w:after="160"/>
      </w:pPr>
      <w:r>
        <w:rPr>
          <w:rFonts w:ascii="Arial" w:cs="Arial" w:eastAsia="Arial" w:hAnsi="Arial"/>
          <w:sz w:val="22"/>
          <w:szCs w:val="22"/>
        </w:rPr>
        <w:t xml:space="preserve">[Adresse]</w:t>
      </w:r>
    </w:p>
    <w:p>
      <w:pPr>
        <w:spacing w:after="120"/>
      </w:pPr>
      <w:r>
        <w:rPr>
          <w:rFonts w:ascii="Arial" w:cs="Arial" w:eastAsia="Arial" w:hAnsi="Arial"/>
          <w:sz w:val="22"/>
          <w:szCs w:val="22"/>
        </w:rPr>
        <w:t xml:space="preserve"/>
      </w:r>
    </w:p>
    <w:p>
      <w:pPr>
        <w:spacing w:after="240"/>
      </w:pPr>
      <w:r>
        <w:rPr>
          <w:rFonts w:ascii="Arial" w:cs="Arial" w:eastAsia="Arial" w:hAnsi="Arial"/>
          <w:b/>
          <w:bCs/>
          <w:i w:val="false"/>
          <w:iCs w:val="false"/>
          <w:sz w:val="22"/>
          <w:szCs w:val="22"/>
        </w:rPr>
        <w:t xml:space="preserve">Objet : </w:t>
      </w:r>
      <w:r>
        <w:rPr>
          <w:rFonts w:ascii="Arial" w:cs="Arial" w:eastAsia="Arial" w:hAnsi="Arial"/>
          <w:b w:val="false"/>
          <w:bCs w:val="false"/>
          <w:i w:val="false"/>
          <w:iCs w:val="false"/>
          <w:sz w:val="22"/>
          <w:szCs w:val="22"/>
        </w:rPr>
        <w:t xml:space="preserve">Revue juridique forfaitaire — service en ligne d’aide aux locataires (état des lieux, dépôt de garantie)</w:t>
      </w:r>
    </w:p>
    <w:p>
      <w:pPr>
        <w:spacing w:after="160"/>
      </w:pPr>
      <w:r>
        <w:rPr>
          <w:rFonts w:ascii="Arial" w:cs="Arial" w:eastAsia="Arial" w:hAnsi="Arial"/>
          <w:sz w:val="22"/>
          <w:szCs w:val="22"/>
        </w:rPr>
        <w:t xml:space="preserve">Maître [Nom],</w:t>
      </w:r>
    </w:p>
    <w:p>
      <w:pPr>
        <w:spacing w:after="160"/>
      </w:pPr>
      <w:r>
        <w:rPr>
          <w:rFonts w:ascii="Arial" w:cs="Arial" w:eastAsia="Arial" w:hAnsi="Arial"/>
          <w:sz w:val="22"/>
          <w:szCs w:val="22"/>
        </w:rPr>
        <w:t xml:space="preserve">Je me permets de vous solliciter au nom de Global Apex NET SAS, société de droit français immatriculée en Île-de-France, pour une mission de revue juridique forfaitaire portant sur un nouveau service grand public, Tenu (tenu.world).</w:t>
      </w:r>
    </w:p>
    <w:p>
      <w:pPr>
        <w:spacing w:after="160"/>
      </w:pPr>
      <w:r>
        <w:rPr>
          <w:rFonts w:ascii="Arial" w:cs="Arial" w:eastAsia="Arial" w:hAnsi="Arial"/>
          <w:b/>
          <w:bCs/>
          <w:i w:val="false"/>
          <w:iCs w:val="false"/>
          <w:sz w:val="22"/>
          <w:szCs w:val="22"/>
        </w:rPr>
        <w:t xml:space="preserve">Ce que fait Tenu, en deux phrases. </w:t>
      </w:r>
      <w:r>
        <w:rPr>
          <w:rFonts w:ascii="Arial" w:cs="Arial" w:eastAsia="Arial" w:hAnsi="Arial"/>
          <w:b w:val="false"/>
          <w:bCs w:val="false"/>
          <w:i w:val="false"/>
          <w:iCs w:val="false"/>
          <w:sz w:val="22"/>
          <w:szCs w:val="22"/>
        </w:rPr>
        <w:t xml:space="preserve">Tenu est un service en ligne qui aide les locataires (étudiants internationaux et familles expatriées) à constituer un dossier d’état des lieux solide, dans leur langue, à comprendre leurs droits sur le dépôt de garantie, et, le cas échéant, à générer une lettre de contestation type LRAR à adresser au bailleur. Le service ne se substitue à aucun professionnel du droit. Toute communication formelle au bailleur reste à l’initiative du locataire, qui peut la modifier librement avant envoi. Le périmètre est le seul état des lieux ; nous ne traitons pas l’inventaire du mobilier.</w:t>
      </w:r>
    </w:p>
    <w:p>
      <w:pPr>
        <w:spacing w:after="160"/>
      </w:pPr>
      <w:r>
        <w:rPr>
          <w:rFonts w:ascii="Arial" w:cs="Arial" w:eastAsia="Arial" w:hAnsi="Arial"/>
          <w:b/>
          <w:bCs/>
          <w:i w:val="false"/>
          <w:iCs w:val="false"/>
          <w:sz w:val="22"/>
          <w:szCs w:val="22"/>
        </w:rPr>
        <w:t xml:space="preserve">Public visé. </w:t>
      </w:r>
      <w:r>
        <w:rPr>
          <w:rFonts w:ascii="Arial" w:cs="Arial" w:eastAsia="Arial" w:hAnsi="Arial"/>
          <w:b w:val="false"/>
          <w:bCs w:val="false"/>
          <w:i w:val="false"/>
          <w:iCs w:val="false"/>
          <w:sz w:val="22"/>
          <w:szCs w:val="22"/>
        </w:rPr>
        <w:t xml:space="preserve">Locataires personnes physiques en France, prestation B2C, paiement à l’acte (15 € à 35 € TTC selon la typologie du logement, addon contestation 20 €). Pas d’abonnement.</w:t>
      </w:r>
    </w:p>
    <w:p>
      <w:pPr>
        <w:spacing w:after="160"/>
      </w:pPr>
      <w:r>
        <w:rPr>
          <w:rFonts w:ascii="Arial" w:cs="Arial" w:eastAsia="Arial" w:hAnsi="Arial"/>
          <w:b/>
          <w:bCs/>
          <w:i w:val="false"/>
          <w:iCs w:val="false"/>
          <w:sz w:val="22"/>
          <w:szCs w:val="22"/>
        </w:rPr>
        <w:t xml:space="preserve">Pourquoi je vous écris. </w:t>
      </w:r>
      <w:r>
        <w:rPr>
          <w:rFonts w:ascii="Arial" w:cs="Arial" w:eastAsia="Arial" w:hAnsi="Arial"/>
          <w:b w:val="false"/>
          <w:bCs w:val="false"/>
          <w:i w:val="false"/>
          <w:iCs w:val="false"/>
          <w:sz w:val="22"/>
          <w:szCs w:val="22"/>
        </w:rPr>
        <w:t xml:space="preserve">Avant la mise en service prévue le 11 mai 2026, le produit doit être revu par un·e avocat·e en droit immobilier afin de :</w:t>
      </w:r>
    </w:p>
    <w:p>
      <w:pPr>
        <w:pStyle w:val="ListParagraph"/>
        <w:numPr>
          <w:ilvl w:val="0"/>
          <w:numId w:val="2"/>
        </w:numPr>
        <w:spacing w:after="100"/>
      </w:pPr>
      <w:r>
        <w:rPr>
          <w:rFonts w:ascii="Arial" w:cs="Arial" w:eastAsia="Arial" w:hAnsi="Arial"/>
          <w:b w:val="false"/>
          <w:bCs w:val="false"/>
          <w:i w:val="false"/>
          <w:iCs w:val="false"/>
          <w:sz w:val="22"/>
          <w:szCs w:val="22"/>
        </w:rPr>
        <w:t xml:space="preserve">valider la conformité de l’</w:t>
      </w:r>
      <w:r>
        <w:rPr>
          <w:rFonts w:ascii="Arial" w:cs="Arial" w:eastAsia="Arial" w:hAnsi="Arial"/>
          <w:b/>
          <w:bCs/>
          <w:i w:val="false"/>
          <w:iCs w:val="false"/>
          <w:sz w:val="22"/>
          <w:szCs w:val="22"/>
        </w:rPr>
        <w:t xml:space="preserve">information précontractuelle</w:t>
      </w:r>
      <w:r>
        <w:rPr>
          <w:rFonts w:ascii="Arial" w:cs="Arial" w:eastAsia="Arial" w:hAnsi="Arial"/>
          <w:b w:val="false"/>
          <w:bCs w:val="false"/>
          <w:i w:val="false"/>
          <w:iCs w:val="false"/>
          <w:sz w:val="22"/>
          <w:szCs w:val="22"/>
        </w:rPr>
        <w:t xml:space="preserve"> (article L. 221-5 du Code de la consommation) telle que publiée sur tenu.world/legal ;</w:t>
      </w:r>
    </w:p>
    <w:p>
      <w:pPr>
        <w:pStyle w:val="ListParagraph"/>
        <w:numPr>
          <w:ilvl w:val="0"/>
          <w:numId w:val="2"/>
        </w:numPr>
        <w:spacing w:after="100"/>
      </w:pPr>
      <w:r>
        <w:rPr>
          <w:rFonts w:ascii="Arial" w:cs="Arial" w:eastAsia="Arial" w:hAnsi="Arial"/>
          <w:b w:val="false"/>
          <w:bCs w:val="false"/>
          <w:i w:val="false"/>
          <w:iCs w:val="false"/>
          <w:sz w:val="22"/>
          <w:szCs w:val="22"/>
        </w:rPr>
        <w:t xml:space="preserve">valider les </w:t>
      </w:r>
      <w:r>
        <w:rPr>
          <w:rFonts w:ascii="Arial" w:cs="Arial" w:eastAsia="Arial" w:hAnsi="Arial"/>
          <w:b/>
          <w:bCs/>
          <w:i w:val="false"/>
          <w:iCs w:val="false"/>
          <w:sz w:val="22"/>
          <w:szCs w:val="22"/>
        </w:rPr>
        <w:t xml:space="preserve">conditions générales d’utilisation</w:t>
      </w:r>
      <w:r>
        <w:rPr>
          <w:rFonts w:ascii="Arial" w:cs="Arial" w:eastAsia="Arial" w:hAnsi="Arial"/>
          <w:b w:val="false"/>
          <w:bCs w:val="false"/>
          <w:i w:val="false"/>
          <w:iCs w:val="false"/>
          <w:sz w:val="22"/>
          <w:szCs w:val="22"/>
        </w:rPr>
        <w:t xml:space="preserve"> (CGU) et le mécanisme d’acceptation, en particulier la renonciation au droit de rétractation au titre de l’article L. 221-28 1° (exécution intégrale avant la fin du délai de 14 jours, avec accord exprès du consommateur) ;</w:t>
      </w:r>
    </w:p>
    <w:p>
      <w:pPr>
        <w:pStyle w:val="ListParagraph"/>
        <w:numPr>
          <w:ilvl w:val="0"/>
          <w:numId w:val="2"/>
        </w:numPr>
        <w:spacing w:after="100"/>
      </w:pPr>
      <w:r>
        <w:rPr>
          <w:rFonts w:ascii="Arial" w:cs="Arial" w:eastAsia="Arial" w:hAnsi="Arial"/>
          <w:b w:val="false"/>
          <w:bCs w:val="false"/>
          <w:i w:val="false"/>
          <w:iCs w:val="false"/>
          <w:sz w:val="22"/>
          <w:szCs w:val="22"/>
        </w:rPr>
        <w:t xml:space="preserve">relire la </w:t>
      </w:r>
      <w:r>
        <w:rPr>
          <w:rFonts w:ascii="Arial" w:cs="Arial" w:eastAsia="Arial" w:hAnsi="Arial"/>
          <w:b/>
          <w:bCs/>
          <w:i w:val="false"/>
          <w:iCs w:val="false"/>
          <w:sz w:val="22"/>
          <w:szCs w:val="22"/>
        </w:rPr>
        <w:t xml:space="preserve">politique de confidentialité</w:t>
      </w:r>
      <w:r>
        <w:rPr>
          <w:rFonts w:ascii="Arial" w:cs="Arial" w:eastAsia="Arial" w:hAnsi="Arial"/>
          <w:b w:val="false"/>
          <w:bCs w:val="false"/>
          <w:i w:val="false"/>
          <w:iCs w:val="false"/>
          <w:sz w:val="22"/>
          <w:szCs w:val="22"/>
        </w:rPr>
        <w:t xml:space="preserve"> et l’</w:t>
      </w:r>
      <w:r>
        <w:rPr>
          <w:rFonts w:ascii="Arial" w:cs="Arial" w:eastAsia="Arial" w:hAnsi="Arial"/>
          <w:b/>
          <w:bCs/>
          <w:i w:val="false"/>
          <w:iCs w:val="false"/>
          <w:sz w:val="22"/>
          <w:szCs w:val="22"/>
        </w:rPr>
        <w:t xml:space="preserve">accord de traitement des données (DPA)</w:t>
      </w:r>
      <w:r>
        <w:rPr>
          <w:rFonts w:ascii="Arial" w:cs="Arial" w:eastAsia="Arial" w:hAnsi="Arial"/>
          <w:b w:val="false"/>
          <w:bCs w:val="false"/>
          <w:i w:val="false"/>
          <w:iCs w:val="false"/>
          <w:sz w:val="22"/>
          <w:szCs w:val="22"/>
        </w:rPr>
        <w:t xml:space="preserve"> au regard du RGPD, sachant que le service traite des photos de logements, des coordonnées du bailleur et, pour la lettre de contestation, des éléments financiers ;</w:t>
      </w:r>
    </w:p>
    <w:p>
      <w:pPr>
        <w:pStyle w:val="ListParagraph"/>
        <w:numPr>
          <w:ilvl w:val="0"/>
          <w:numId w:val="2"/>
        </w:numPr>
        <w:spacing w:after="100"/>
      </w:pPr>
      <w:r>
        <w:rPr>
          <w:rFonts w:ascii="Arial" w:cs="Arial" w:eastAsia="Arial" w:hAnsi="Arial"/>
          <w:b w:val="false"/>
          <w:bCs w:val="false"/>
          <w:i w:val="false"/>
          <w:iCs w:val="false"/>
          <w:sz w:val="22"/>
          <w:szCs w:val="22"/>
        </w:rPr>
        <w:t xml:space="preserve">relire le </w:t>
      </w:r>
      <w:r>
        <w:rPr>
          <w:rFonts w:ascii="Arial" w:cs="Arial" w:eastAsia="Arial" w:hAnsi="Arial"/>
          <w:b/>
          <w:bCs/>
          <w:i w:val="false"/>
          <w:iCs w:val="false"/>
          <w:sz w:val="22"/>
          <w:szCs w:val="22"/>
        </w:rPr>
        <w:t xml:space="preserve">modèle de lettre LRAR</w:t>
      </w:r>
      <w:r>
        <w:rPr>
          <w:rFonts w:ascii="Arial" w:cs="Arial" w:eastAsia="Arial" w:hAnsi="Arial"/>
          <w:b w:val="false"/>
          <w:bCs w:val="false"/>
          <w:i w:val="false"/>
          <w:iCs w:val="false"/>
          <w:sz w:val="22"/>
          <w:szCs w:val="22"/>
        </w:rPr>
        <w:t xml:space="preserve"> généré par notre moteur, dans sa structure (calcul des retenues, droits invoqués, mention du médiateur de la consommation, délai de réponse de deux mois) ;</w:t>
      </w:r>
    </w:p>
    <w:p>
      <w:pPr>
        <w:pStyle w:val="ListParagraph"/>
        <w:numPr>
          <w:ilvl w:val="0"/>
          <w:numId w:val="2"/>
        </w:numPr>
        <w:spacing w:after="100"/>
      </w:pPr>
      <w:r>
        <w:rPr>
          <w:rFonts w:ascii="Arial" w:cs="Arial" w:eastAsia="Arial" w:hAnsi="Arial"/>
          <w:b w:val="false"/>
          <w:bCs w:val="false"/>
          <w:i w:val="false"/>
          <w:iCs w:val="false"/>
          <w:sz w:val="22"/>
          <w:szCs w:val="22"/>
        </w:rPr>
        <w:t xml:space="preserve">relire les </w:t>
      </w:r>
      <w:r>
        <w:rPr>
          <w:rFonts w:ascii="Arial" w:cs="Arial" w:eastAsia="Arial" w:hAnsi="Arial"/>
          <w:b/>
          <w:bCs/>
          <w:i w:val="false"/>
          <w:iCs w:val="false"/>
          <w:sz w:val="22"/>
          <w:szCs w:val="22"/>
        </w:rPr>
        <w:t xml:space="preserve">dix faits juridiques</w:t>
      </w:r>
      <w:r>
        <w:rPr>
          <w:rFonts w:ascii="Arial" w:cs="Arial" w:eastAsia="Arial" w:hAnsi="Arial"/>
          <w:b w:val="false"/>
          <w:bCs w:val="false"/>
          <w:i w:val="false"/>
          <w:iCs w:val="false"/>
          <w:sz w:val="22"/>
          <w:szCs w:val="22"/>
        </w:rPr>
        <w:t xml:space="preserve"> affichés au locataire dans l’app comme rappel de ses droits (textes statiques, jamais générés par IA), avec leurs références aux textes (loi du 6 juillet 1989, décret du 30 mars 2016 sur l’état des lieux, etc.).</w:t>
      </w:r>
    </w:p>
    <w:p>
      <w:pPr>
        <w:spacing w:after="120"/>
      </w:pPr>
      <w:r>
        <w:rPr>
          <w:rFonts w:ascii="Arial" w:cs="Arial" w:eastAsia="Arial" w:hAnsi="Arial"/>
          <w:sz w:val="22"/>
          <w:szCs w:val="22"/>
        </w:rPr>
        <w:t xml:space="preserve"/>
      </w:r>
    </w:p>
    <w:p>
      <w:pPr>
        <w:spacing w:after="160"/>
      </w:pPr>
      <w:r>
        <w:rPr>
          <w:rFonts w:ascii="Arial" w:cs="Arial" w:eastAsia="Arial" w:hAnsi="Arial"/>
          <w:sz w:val="22"/>
          <w:szCs w:val="22"/>
        </w:rPr>
        <w:t xml:space="preserve">L’IA est utilisée uniquement pour aider à structurer la lettre du locataire (Anthropic Claude, traitement en EU). Tous les conseils juridiques affichés à l’utilisateur sont rédigés à l’avance et statiques.</w:t>
      </w:r>
    </w:p>
    <w:p>
      <w:pPr>
        <w:spacing w:after="160"/>
      </w:pPr>
      <w:r>
        <w:rPr>
          <w:rFonts w:ascii="Arial" w:cs="Arial" w:eastAsia="Arial" w:hAnsi="Arial"/>
          <w:b/>
          <w:bCs/>
          <w:i w:val="false"/>
          <w:iCs w:val="false"/>
          <w:sz w:val="22"/>
          <w:szCs w:val="22"/>
        </w:rPr>
        <w:t xml:space="preserve">Format proposé.</w:t>
      </w:r>
    </w:p>
    <w:p>
      <w:pPr>
        <w:pStyle w:val="ListParagraph"/>
        <w:numPr>
          <w:ilvl w:val="0"/>
          <w:numId w:val="3"/>
        </w:numPr>
        <w:spacing w:after="100"/>
      </w:pPr>
      <w:r>
        <w:rPr>
          <w:rFonts w:ascii="Arial" w:cs="Arial" w:eastAsia="Arial" w:hAnsi="Arial"/>
          <w:b w:val="false"/>
          <w:bCs w:val="false"/>
          <w:i w:val="false"/>
          <w:iCs w:val="false"/>
          <w:sz w:val="22"/>
          <w:szCs w:val="22"/>
        </w:rPr>
        <w:t xml:space="preserve">Une lecture du dossier (CGU, mentions légales, politique de confidentialité, DPA, modèle de lettre, dix faits juridiques) — environ 35 à 50 pages.</w:t>
      </w:r>
    </w:p>
    <w:p>
      <w:pPr>
        <w:pStyle w:val="ListParagraph"/>
        <w:numPr>
          <w:ilvl w:val="0"/>
          <w:numId w:val="3"/>
        </w:numPr>
        <w:spacing w:after="100"/>
      </w:pPr>
      <w:r>
        <w:rPr>
          <w:rFonts w:ascii="Arial" w:cs="Arial" w:eastAsia="Arial" w:hAnsi="Arial"/>
          <w:b w:val="false"/>
          <w:bCs w:val="false"/>
          <w:i w:val="false"/>
          <w:iCs w:val="false"/>
          <w:sz w:val="22"/>
          <w:szCs w:val="22"/>
        </w:rPr>
        <w:t xml:space="preserve">Un retour écrit avec : points conformes, points à corriger (par criticité), recommandations.</w:t>
      </w:r>
    </w:p>
    <w:p>
      <w:pPr>
        <w:pStyle w:val="ListParagraph"/>
        <w:numPr>
          <w:ilvl w:val="0"/>
          <w:numId w:val="3"/>
        </w:numPr>
        <w:spacing w:after="100"/>
      </w:pPr>
      <w:r>
        <w:rPr>
          <w:rFonts w:ascii="Arial" w:cs="Arial" w:eastAsia="Arial" w:hAnsi="Arial"/>
          <w:b w:val="false"/>
          <w:bCs w:val="false"/>
          <w:i w:val="false"/>
          <w:iCs w:val="false"/>
          <w:sz w:val="22"/>
          <w:szCs w:val="22"/>
        </w:rPr>
        <w:t xml:space="preserve">Un appel de 30 à 45 minutes pour clore la mission.</w:t>
      </w:r>
    </w:p>
    <w:p>
      <w:pPr>
        <w:pStyle w:val="ListParagraph"/>
        <w:numPr>
          <w:ilvl w:val="0"/>
          <w:numId w:val="3"/>
        </w:numPr>
        <w:spacing w:after="100"/>
      </w:pPr>
      <w:r>
        <w:rPr>
          <w:rFonts w:ascii="Arial" w:cs="Arial" w:eastAsia="Arial" w:hAnsi="Arial"/>
          <w:b w:val="false"/>
          <w:bCs w:val="false"/>
          <w:i w:val="false"/>
          <w:iCs w:val="false"/>
          <w:sz w:val="22"/>
          <w:szCs w:val="22"/>
        </w:rPr>
        <w:t xml:space="preserve">Délai souhaité de retour : avant le 7 mai 2026.</w:t>
      </w:r>
    </w:p>
    <w:p>
      <w:pPr>
        <w:spacing w:after="120"/>
      </w:pPr>
      <w:r>
        <w:rPr>
          <w:rFonts w:ascii="Arial" w:cs="Arial" w:eastAsia="Arial" w:hAnsi="Arial"/>
          <w:sz w:val="22"/>
          <w:szCs w:val="22"/>
        </w:rPr>
        <w:t xml:space="preserve"/>
      </w:r>
    </w:p>
    <w:p>
      <w:pPr>
        <w:spacing w:after="160"/>
      </w:pPr>
      <w:r>
        <w:rPr>
          <w:rFonts w:ascii="Arial" w:cs="Arial" w:eastAsia="Arial" w:hAnsi="Arial"/>
          <w:b/>
          <w:bCs/>
          <w:i w:val="false"/>
          <w:iCs w:val="false"/>
          <w:sz w:val="22"/>
          <w:szCs w:val="22"/>
        </w:rPr>
        <w:t xml:space="preserve">Budget. </w:t>
      </w:r>
      <w:r>
        <w:rPr>
          <w:rFonts w:ascii="Arial" w:cs="Arial" w:eastAsia="Arial" w:hAnsi="Arial"/>
          <w:b w:val="false"/>
          <w:bCs w:val="false"/>
          <w:i w:val="false"/>
          <w:iCs w:val="false"/>
          <w:sz w:val="22"/>
          <w:szCs w:val="22"/>
        </w:rPr>
        <w:t xml:space="preserve">Forfait entre 1 000 € HT et 2 000 € HT selon le périmètre exact que vous retiendrez. Je suis ouvert à un devis chiffré de votre côté ; merci de me le faire parvenir si vous estimez le périmètre supérieur à cette enveloppe.</w:t>
      </w:r>
    </w:p>
    <w:p>
      <w:pPr>
        <w:spacing w:after="160"/>
      </w:pPr>
      <w:r>
        <w:rPr>
          <w:rFonts w:ascii="Arial" w:cs="Arial" w:eastAsia="Arial" w:hAnsi="Arial"/>
          <w:b/>
          <w:bCs/>
          <w:i w:val="false"/>
          <w:iCs w:val="false"/>
          <w:sz w:val="22"/>
          <w:szCs w:val="22"/>
        </w:rPr>
        <w:t xml:space="preserve">Pièces jointes (sur demande). </w:t>
      </w:r>
      <w:r>
        <w:rPr>
          <w:rFonts w:ascii="Arial" w:cs="Arial" w:eastAsia="Arial" w:hAnsi="Arial"/>
          <w:b w:val="false"/>
          <w:bCs w:val="false"/>
          <w:i w:val="false"/>
          <w:iCs w:val="false"/>
          <w:sz w:val="22"/>
          <w:szCs w:val="22"/>
        </w:rPr>
        <w:t xml:space="preserve">CGU v1.0, politique de confidentialité v1.0, DPA v1.0, mentions légales, modèle de lettre LRAR (FR), table des dix faits juridiques affichés (FR), plaquette Tenu d’une page. Je vous les transmets dès accord de principe.</w:t>
      </w:r>
    </w:p>
    <w:p>
      <w:pPr>
        <w:spacing w:after="160"/>
      </w:pPr>
      <w:r>
        <w:rPr>
          <w:rFonts w:ascii="Arial" w:cs="Arial" w:eastAsia="Arial" w:hAnsi="Arial"/>
          <w:b/>
          <w:bCs/>
          <w:i w:val="false"/>
          <w:iCs w:val="false"/>
          <w:sz w:val="22"/>
          <w:szCs w:val="22"/>
        </w:rPr>
        <w:t xml:space="preserve">Pour la suite. </w:t>
      </w:r>
      <w:r>
        <w:rPr>
          <w:rFonts w:ascii="Arial" w:cs="Arial" w:eastAsia="Arial" w:hAnsi="Arial"/>
          <w:b w:val="false"/>
          <w:bCs w:val="false"/>
          <w:i w:val="false"/>
          <w:iCs w:val="false"/>
          <w:sz w:val="22"/>
          <w:szCs w:val="22"/>
        </w:rPr>
        <w:t xml:space="preserve">Si vous ne couvrez pas ce périmètre ou que votre disponibilité ne le permet pas, je serais reconnaissant d’une recommandation vers un·e confrère·sœur compétent·e en droit de la consommation appliqué à l’immobilier locatif.</w:t>
      </w:r>
    </w:p>
    <w:p>
      <w:pPr>
        <w:spacing w:after="160"/>
      </w:pPr>
      <w:r>
        <w:rPr>
          <w:rFonts w:ascii="Arial" w:cs="Arial" w:eastAsia="Arial" w:hAnsi="Arial"/>
          <w:sz w:val="22"/>
          <w:szCs w:val="22"/>
        </w:rPr>
        <w:t xml:space="preserve">Je reste à votre disposition pour tout échange préalable.</w:t>
      </w:r>
    </w:p>
    <w:p>
      <w:pPr>
        <w:spacing w:after="120"/>
      </w:pPr>
      <w:r>
        <w:rPr>
          <w:rFonts w:ascii="Arial" w:cs="Arial" w:eastAsia="Arial" w:hAnsi="Arial"/>
          <w:sz w:val="22"/>
          <w:szCs w:val="22"/>
        </w:rPr>
        <w:t xml:space="preserve"/>
      </w:r>
    </w:p>
    <w:p>
      <w:pPr>
        <w:spacing w:after="160"/>
      </w:pPr>
      <w:r>
        <w:rPr>
          <w:rFonts w:ascii="Arial" w:cs="Arial" w:eastAsia="Arial" w:hAnsi="Arial"/>
          <w:sz w:val="22"/>
          <w:szCs w:val="22"/>
        </w:rPr>
        <w:t xml:space="preserve">Bien cordialement,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60"/>
      </w:pPr>
      <w:r>
        <w:rPr>
          <w:rFonts w:ascii="Arial" w:cs="Arial" w:eastAsia="Arial" w:hAnsi="Arial"/>
          <w:b/>
          <w:bCs/>
          <w:i w:val="false"/>
          <w:iCs w:val="false"/>
          <w:sz w:val="22"/>
          <w:szCs w:val="22"/>
        </w:rPr>
        <w:t xml:space="preserve">Dr Malik Mubashir Hassan</w:t>
      </w:r>
    </w:p>
    <w:p>
      <w:pPr>
        <w:spacing w:after="60"/>
      </w:pPr>
      <w:r>
        <w:rPr>
          <w:rFonts w:ascii="Arial" w:cs="Arial" w:eastAsia="Arial" w:hAnsi="Arial"/>
          <w:sz w:val="22"/>
          <w:szCs w:val="22"/>
        </w:rPr>
        <w:t xml:space="preserve">Président, Global Apex NET SAS</w:t>
      </w:r>
    </w:p>
    <w:p>
      <w:pPr>
        <w:spacing w:after="60"/>
      </w:pPr>
      <w:r>
        <w:rPr>
          <w:rFonts w:ascii="Arial" w:cs="Arial" w:eastAsia="Arial" w:hAnsi="Arial"/>
          <w:sz w:val="22"/>
          <w:szCs w:val="22"/>
        </w:rPr>
        <w:t xml:space="preserve">[adresse e-mail]</w:t>
      </w:r>
    </w:p>
    <w:p>
      <w:pPr>
        <w:spacing w:after="60"/>
      </w:pPr>
      <w:r>
        <w:rPr>
          <w:rFonts w:ascii="Arial" w:cs="Arial" w:eastAsia="Arial" w:hAnsi="Arial"/>
          <w:sz w:val="22"/>
          <w:szCs w:val="22"/>
        </w:rPr>
        <w:t xml:space="preserve">[téléphone]</w:t>
      </w:r>
    </w:p>
    <w:p>
      <w:pPr>
        <w:spacing w:after="60"/>
      </w:pPr>
      <w:r>
        <w:rPr>
          <w:rFonts w:ascii="Arial" w:cs="Arial" w:eastAsia="Arial" w:hAnsi="Arial"/>
          <w:sz w:val="22"/>
          <w:szCs w:val="22"/>
        </w:rPr>
        <w:t xml:space="preserve">[siège social complet]</w:t>
      </w:r>
    </w:p>
    <w:p>
      <w:pPr>
        <w:spacing w:after="60"/>
      </w:pPr>
      <w:r>
        <w:rPr>
          <w:rFonts w:ascii="Arial" w:cs="Arial" w:eastAsia="Arial" w:hAnsi="Arial"/>
          <w:sz w:val="22"/>
          <w:szCs w:val="22"/>
        </w:rPr>
        <w:t xml:space="preserve">SIREN [à compléter]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 Avocat·e en droit immobilier</dc:title>
  <dc:creator>Global Apex NET SAS</dc:creator>
  <dc:description>Demande de revue juridique forfaitaire pour le service Tenu (tenu.world)</dc:description>
  <cp:lastModifiedBy>Un-named</cp:lastModifiedBy>
  <cp:revision>1</cp:revision>
  <dcterms:created xsi:type="dcterms:W3CDTF">2026-05-07T14:28:35.214Z</dcterms:created>
  <dcterms:modified xsi:type="dcterms:W3CDTF">2026-05-07T14:28:35.214Z</dcterms:modified>
</cp:coreProperties>
</file>

<file path=docProps/custom.xml><?xml version="1.0" encoding="utf-8"?>
<Properties xmlns="http://schemas.openxmlformats.org/officeDocument/2006/custom-properties" xmlns:vt="http://schemas.openxmlformats.org/officeDocument/2006/docPropsVTypes"/>
</file>