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E76" w:rsidRDefault="007972B6">
      <w:pPr>
        <w:pStyle w:val="Title"/>
        <w:rPr>
          <w:color w:val="002060"/>
          <w:sz w:val="48"/>
          <w:szCs w:val="48"/>
        </w:rPr>
      </w:pPr>
      <w:r>
        <w:rPr>
          <w:rFonts w:ascii="Calibri" w:hAnsi="Calibri"/>
          <w:color w:val="002060"/>
          <w:sz w:val="48"/>
          <w:szCs w:val="48"/>
        </w:rPr>
        <w:t>TALIB OBAID SALMAN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rPr>
          <w:trHeight w:val="477"/>
        </w:trPr>
        <w:tc>
          <w:tcPr>
            <w:tcW w:w="5000" w:type="pct"/>
            <w:gridSpan w:val="2"/>
          </w:tcPr>
          <w:p w:rsidR="00C84E76" w:rsidRDefault="007972B6">
            <w:pPr>
              <w:pStyle w:val="ContactInfo"/>
              <w:jc w:val="center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Bismayah</w:t>
            </w:r>
            <w:proofErr w:type="spellEnd"/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 New City </w:t>
            </w:r>
            <w:r w:rsidR="008C7D81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-</w:t>
            </w: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Baghdad-Iraq</w:t>
            </w: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294083">
            <w:pPr>
              <w:pStyle w:val="ContactInfo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2060"/>
                <w:sz w:val="48"/>
                <w:szCs w:val="48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46481D16" wp14:editId="5790AEE8">
                  <wp:simplePos x="0" y="0"/>
                  <wp:positionH relativeFrom="column">
                    <wp:posOffset>2771140</wp:posOffset>
                  </wp:positionH>
                  <wp:positionV relativeFrom="paragraph">
                    <wp:posOffset>-544830</wp:posOffset>
                  </wp:positionV>
                  <wp:extent cx="1921510" cy="2263028"/>
                  <wp:effectExtent l="0" t="0" r="254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ubai, movenpic Hot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520" cy="227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t>Mobile :</w:t>
            </w:r>
            <w:r w:rsidR="008C7D81">
              <w:rPr>
                <w:rFonts w:ascii="Calibri" w:hAnsi="Calibri"/>
                <w:color w:val="002060"/>
                <w:sz w:val="22"/>
                <w:szCs w:val="22"/>
              </w:rPr>
              <w:t xml:space="preserve">+964 7818242189-  </w:t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t>7733527898</w:t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br/>
              <w:t>E-mail : talebobaid@gmail.com</w:t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br/>
              <w:t>Skype : taleb.mscbaghdad</w:t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br/>
              <w:t>Nationality : Iraqi</w:t>
            </w:r>
            <w:r w:rsidR="007972B6">
              <w:rPr>
                <w:rFonts w:ascii="Calibri" w:hAnsi="Calibri"/>
                <w:color w:val="002060"/>
                <w:sz w:val="22"/>
                <w:szCs w:val="22"/>
              </w:rPr>
              <w:br/>
              <w:t>Marital Status : Married</w:t>
            </w:r>
          </w:p>
        </w:tc>
      </w:tr>
    </w:tbl>
    <w:p w:rsidR="00C84E76" w:rsidRDefault="007972B6">
      <w:pPr>
        <w:pStyle w:val="SectionHeading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jc w:val="both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jc w:val="both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A supply chain manager with invaluable knowledge of managing projects, resources and staff in an effective and efficient manner. Highly focused with a comprehensive understanding of logistics, procurement and the supply chain. Boasting a consistent &amp; proven </w:t>
            </w:r>
            <w:bookmarkStart w:id="0" w:name="_GoBack"/>
            <w:bookmarkEnd w:id="0"/>
            <w:r>
              <w:rPr>
                <w:color w:val="002060"/>
                <w:sz w:val="22"/>
                <w:szCs w:val="22"/>
              </w:rPr>
              <w:t>track record of successfully employing best business practices that improve efficiency, reduce operating costs whilst increasing performance, all to tight time scales and within budget.</w:t>
            </w:r>
          </w:p>
          <w:p w:rsidR="00C84E76" w:rsidRDefault="007972B6">
            <w:pPr>
              <w:jc w:val="both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Committed to identifying and implementing continuous improvements in the supply chain. Now looking for a new and challenging managerial position, one which will make best use of existing skills and experience and also further my personal and professional development.</w:t>
            </w:r>
          </w:p>
        </w:tc>
      </w:tr>
    </w:tbl>
    <w:p w:rsidR="00C84E76" w:rsidRDefault="00C84E76">
      <w:pPr>
        <w:pStyle w:val="SectionHeading"/>
        <w:jc w:val="both"/>
        <w:rPr>
          <w:color w:val="002060"/>
          <w:sz w:val="22"/>
          <w:szCs w:val="22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pStyle w:val="Subsection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Languages</w:t>
            </w:r>
          </w:p>
          <w:p w:rsidR="00C84E76" w:rsidRDefault="007972B6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002060"/>
                <w:sz w:val="22"/>
                <w:szCs w:val="22"/>
              </w:rPr>
            </w:pPr>
            <w:r>
              <w:rPr>
                <w:rFonts w:ascii="Cambria" w:hAnsi="Cambria"/>
                <w:color w:val="002060"/>
                <w:sz w:val="22"/>
                <w:szCs w:val="22"/>
              </w:rPr>
              <w:t xml:space="preserve">· 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t>English fluent: reading, writing, and speaking.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br/>
            </w:r>
            <w:r>
              <w:rPr>
                <w:rFonts w:ascii="Cambria" w:hAnsi="Cambria"/>
                <w:color w:val="002060"/>
                <w:sz w:val="22"/>
                <w:szCs w:val="22"/>
              </w:rPr>
              <w:t xml:space="preserve">· 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t>Arabic fluent: reading, writing, and speaking.</w:t>
            </w: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pStyle w:val="Subsection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 xml:space="preserve">  Software</w:t>
            </w:r>
          </w:p>
          <w:p w:rsidR="00C84E76" w:rsidRDefault="007972B6">
            <w:pPr>
              <w:pStyle w:val="ListBullet"/>
              <w:numPr>
                <w:ilvl w:val="0"/>
                <w:numId w:val="0"/>
              </w:numPr>
              <w:ind w:left="101"/>
              <w:rPr>
                <w:color w:val="002060"/>
                <w:sz w:val="22"/>
                <w:szCs w:val="22"/>
              </w:rPr>
            </w:pPr>
            <w:r>
              <w:rPr>
                <w:rFonts w:ascii="Cambria" w:hAnsi="Cambria"/>
                <w:color w:val="002060"/>
                <w:sz w:val="22"/>
                <w:szCs w:val="22"/>
              </w:rPr>
              <w:t xml:space="preserve">· 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t>IC3 GS4 (internet and commuting core) by Baghdad University and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br/>
              <w:t xml:space="preserve">    Certiport.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br/>
            </w:r>
            <w:r>
              <w:rPr>
                <w:rFonts w:ascii="Cambria" w:hAnsi="Cambria"/>
                <w:color w:val="002060"/>
                <w:sz w:val="22"/>
                <w:szCs w:val="22"/>
              </w:rPr>
              <w:t xml:space="preserve">· 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t>Advance MS. Outlook, PowerPoint &amp; Excel Certificates online by Alison.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br/>
            </w:r>
            <w:r>
              <w:rPr>
                <w:rFonts w:ascii="Cambria" w:hAnsi="Cambria"/>
                <w:color w:val="002060"/>
                <w:sz w:val="22"/>
                <w:szCs w:val="22"/>
              </w:rPr>
              <w:t xml:space="preserve">· </w:t>
            </w:r>
            <w:r>
              <w:rPr>
                <w:rFonts w:ascii="Calibri" w:hAnsi="Calibri"/>
                <w:color w:val="002060"/>
                <w:sz w:val="22"/>
                <w:szCs w:val="22"/>
              </w:rPr>
              <w:t>Organizing large customer’s database and international Correspondence.</w:t>
            </w:r>
          </w:p>
        </w:tc>
      </w:tr>
    </w:tbl>
    <w:p w:rsidR="00C84E76" w:rsidRDefault="00C84E76">
      <w:pPr>
        <w:pStyle w:val="SectionHeading"/>
        <w:rPr>
          <w:color w:val="002060"/>
          <w:sz w:val="22"/>
          <w:szCs w:val="22"/>
        </w:rPr>
      </w:pPr>
    </w:p>
    <w:p w:rsidR="00C84E76" w:rsidRDefault="00C84E76"/>
    <w:p w:rsidR="00C84E76" w:rsidRDefault="007972B6">
      <w:pPr>
        <w:pStyle w:val="SectionHeading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lastRenderedPageBreak/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spacing w:line="240" w:lineRule="auto"/>
              <w:rPr>
                <w:b/>
                <w:bCs/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spacing w:line="240" w:lineRule="auto"/>
              <w:rPr>
                <w:b/>
                <w:bCs/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913" w:type="pct"/>
          </w:tcPr>
          <w:p w:rsidR="00C84E76" w:rsidRDefault="008C7D81">
            <w:pPr>
              <w:pStyle w:val="Date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2018-2019</w:t>
            </w:r>
            <w:r w:rsidR="007972B6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 </w:t>
            </w:r>
          </w:p>
        </w:tc>
        <w:tc>
          <w:tcPr>
            <w:tcW w:w="4087" w:type="pct"/>
          </w:tcPr>
          <w:p w:rsidR="00C84E76" w:rsidRDefault="008C7D81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Shipping manager / </w:t>
            </w:r>
            <w:r w:rsidR="007972B6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 International for shipping and clearance LLC</w:t>
            </w:r>
          </w:p>
        </w:tc>
      </w:tr>
      <w:tr w:rsidR="00C84E76" w:rsidTr="00C84E76">
        <w:tc>
          <w:tcPr>
            <w:tcW w:w="913" w:type="pct"/>
          </w:tcPr>
          <w:p w:rsidR="00C84E76" w:rsidRDefault="007972B6">
            <w:pPr>
              <w:pStyle w:val="Date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2016-2017</w:t>
            </w:r>
          </w:p>
        </w:tc>
        <w:tc>
          <w:tcPr>
            <w:tcW w:w="4087" w:type="pct"/>
          </w:tcPr>
          <w:p w:rsidR="00C84E76" w:rsidRDefault="008C7D81">
            <w:pPr>
              <w:pStyle w:val="ListBullet"/>
              <w:numPr>
                <w:ilvl w:val="0"/>
                <w:numId w:val="0"/>
              </w:numPr>
              <w:ind w:left="101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-Supply Chain Manager/ </w:t>
            </w:r>
            <w:r w:rsidR="007972B6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Power Tower Co.</w:t>
            </w:r>
          </w:p>
        </w:tc>
      </w:tr>
      <w:tr w:rsidR="00C84E76" w:rsidTr="00C84E76">
        <w:tc>
          <w:tcPr>
            <w:tcW w:w="913" w:type="pct"/>
          </w:tcPr>
          <w:p w:rsidR="00C84E76" w:rsidRDefault="007972B6">
            <w:pPr>
              <w:pStyle w:val="Date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2015</w:t>
            </w:r>
          </w:p>
        </w:tc>
        <w:tc>
          <w:tcPr>
            <w:tcW w:w="4087" w:type="pct"/>
          </w:tcPr>
          <w:p w:rsidR="00C84E76" w:rsidRDefault="008C7D81" w:rsidP="008C7D81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Business development manager / </w:t>
            </w:r>
            <w:proofErr w:type="spellStart"/>
            <w:r w:rsidR="007972B6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Nasak</w:t>
            </w:r>
            <w:proofErr w:type="spellEnd"/>
            <w:r w:rsidR="007972B6"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 xml:space="preserve"> Al-Iraq for general trading and life support.</w:t>
            </w:r>
          </w:p>
        </w:tc>
      </w:tr>
      <w:tr w:rsidR="00C84E76" w:rsidTr="00C84E76">
        <w:tc>
          <w:tcPr>
            <w:tcW w:w="913" w:type="pct"/>
          </w:tcPr>
          <w:p w:rsidR="00C84E76" w:rsidRDefault="007972B6">
            <w:pPr>
              <w:pStyle w:val="Date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2011-2014</w:t>
            </w:r>
          </w:p>
        </w:tc>
        <w:tc>
          <w:tcPr>
            <w:tcW w:w="4087" w:type="pct"/>
          </w:tcPr>
          <w:p w:rsidR="00C84E76" w:rsidRDefault="007972B6">
            <w:pPr>
              <w:pStyle w:val="ListBullet"/>
              <w:numPr>
                <w:ilvl w:val="0"/>
                <w:numId w:val="0"/>
              </w:numPr>
              <w:ind w:left="101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-Sales Executive - Sharaf Shipping Company Ltd. Agency of MCS Mediterranean Shipping company.</w:t>
            </w: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br/>
            </w:r>
          </w:p>
        </w:tc>
      </w:tr>
      <w:tr w:rsidR="00C84E76" w:rsidTr="00C84E76">
        <w:tc>
          <w:tcPr>
            <w:tcW w:w="913" w:type="pct"/>
          </w:tcPr>
          <w:p w:rsidR="00C84E76" w:rsidRDefault="007972B6">
            <w:pPr>
              <w:pStyle w:val="Date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2009-211</w:t>
            </w:r>
          </w:p>
        </w:tc>
        <w:tc>
          <w:tcPr>
            <w:tcW w:w="4087" w:type="pct"/>
          </w:tcPr>
          <w:p w:rsidR="00C84E76" w:rsidRDefault="007972B6">
            <w:pPr>
              <w:pStyle w:val="ListBullet"/>
              <w:numPr>
                <w:ilvl w:val="0"/>
                <w:numId w:val="0"/>
              </w:numPr>
              <w:ind w:left="101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t>-Supply Chain Officer - Althemar Altazja Company for general trading.</w:t>
            </w:r>
            <w:r>
              <w:rPr>
                <w:rFonts w:ascii="Calibri" w:hAnsi="Calibri"/>
                <w:b/>
                <w:bCs/>
                <w:color w:val="002060"/>
                <w:sz w:val="22"/>
                <w:szCs w:val="22"/>
              </w:rPr>
              <w:br/>
            </w:r>
          </w:p>
        </w:tc>
      </w:tr>
    </w:tbl>
    <w:p w:rsidR="00C84E76" w:rsidRDefault="007972B6">
      <w:pPr>
        <w:pStyle w:val="SectionHeading"/>
        <w:rPr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tasks and Responsibilities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pStyle w:val="Subsection"/>
              <w:rPr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shd w:val="clear" w:color="auto" w:fill="FFFFFF"/>
              </w:rPr>
              <w:t>Shipping &amp; Logistics: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-Negotiate transportation rates &amp; services.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-Supervise the work of logistics specialists, planners, or schedulers.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-Plan or implement improvements to internal or external logistics systems or processes.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-Analyze the financial impact of proposed logistics changes, such as routing, shipping modes, product volumes or mixes, or carriers.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-Direct inbound or outbound logistics operations, such as transportation or warehouse activities, safety performance, or logistics quality management.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-Communicate freight transportation information to customers or suppliers, using transportation management.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-Book global shipments.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-Communicate with line managers and port of loading/discharge to negotiate rates or solve any issues.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shd w:val="clear" w:color="auto" w:fill="FFFFFF"/>
              </w:rPr>
              <w:t>Supply Chain: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-Coordinate with manufacturers/suppliers to ensure all customer requirements are met.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-Establish or monitor supply chain-based performance measurement systems.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-Develop risk management programs to ensure continuity of supply in emergency scenarios.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shd w:val="clear" w:color="auto" w:fill="FFFFFF"/>
              </w:rPr>
              <w:t>Management: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-Ensure that no organizational silos occur by maintaining strong communications and constant improvements within the company boundaries.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-Builds company image by collaborating with customers, government, and employees.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-Enforcing ethical business practices.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 xml:space="preserve">-Encouraging and building mutual trust, respect, and cooperation </w:t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lastRenderedPageBreak/>
              <w:t>among team members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-Scheduling events, programs, and activities, as well as the work of various departments.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-Using relevant information and individual judgment to determine whether events or processes comply with laws, regulations, or standards.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-Recruiting, interviewing, selecting, hiring, and promoting employees in the organization.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shd w:val="clear" w:color="auto" w:fill="FFFFFF"/>
              </w:rPr>
              <w:t>Sales &amp; Marketing: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-Develop strategies to increase market share.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-Analyze market needs and recommend operational amendments to attract industry-specific customers.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206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-Select effective sales methods to increase company visibility.</w:t>
            </w:r>
            <w:r>
              <w:rPr>
                <w:rStyle w:val="Apple-converted-space"/>
                <w:rFonts w:ascii="Arial" w:hAnsi="Arial" w:cs="Arial"/>
                <w:color w:val="002060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:rsidR="00C84E76" w:rsidRDefault="007972B6">
      <w:pPr>
        <w:pStyle w:val="SectionHeading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lastRenderedPageBreak/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pStyle w:val="Subsection"/>
              <w:rPr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color w:val="002060"/>
                <w:sz w:val="22"/>
                <w:szCs w:val="22"/>
              </w:rPr>
              <w:t>Translation course in English at Ministry of labor.</w:t>
            </w: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8C7D81" w:rsidP="008C7D81">
            <w:pPr>
              <w:pStyle w:val="Subsection"/>
              <w:rPr>
                <w:rFonts w:ascii="Calibri" w:hAnsi="Calibri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color w:val="002060"/>
                <w:sz w:val="22"/>
                <w:szCs w:val="22"/>
              </w:rPr>
              <w:t xml:space="preserve">College of Languages – University of Baghdad </w:t>
            </w:r>
          </w:p>
        </w:tc>
      </w:tr>
      <w:tr w:rsidR="00C84E76" w:rsidTr="00C84E76">
        <w:tc>
          <w:tcPr>
            <w:tcW w:w="91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4087" w:type="pct"/>
          </w:tcPr>
          <w:p w:rsidR="00C84E76" w:rsidRDefault="007972B6">
            <w:pPr>
              <w:pStyle w:val="Subsection"/>
              <w:rPr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color w:val="002060"/>
                <w:sz w:val="22"/>
                <w:szCs w:val="22"/>
              </w:rPr>
              <w:t>High School- Al- Karama High School.</w:t>
            </w:r>
          </w:p>
        </w:tc>
      </w:tr>
    </w:tbl>
    <w:p w:rsidR="00C84E76" w:rsidRDefault="00C84E76">
      <w:pPr>
        <w:rPr>
          <w:color w:val="002060"/>
          <w:sz w:val="22"/>
          <w:szCs w:val="22"/>
        </w:rPr>
      </w:pPr>
    </w:p>
    <w:p w:rsidR="00C84E76" w:rsidRDefault="00C84E76">
      <w:pPr>
        <w:rPr>
          <w:color w:val="002060"/>
          <w:sz w:val="22"/>
          <w:szCs w:val="22"/>
        </w:rPr>
      </w:pPr>
    </w:p>
    <w:p w:rsidR="00C84E76" w:rsidRDefault="007972B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RFRENCES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912"/>
        <w:gridCol w:w="4081"/>
        <w:gridCol w:w="4079"/>
      </w:tblGrid>
      <w:tr w:rsidR="00C84E76" w:rsidTr="00C8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3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  <w:tc>
          <w:tcPr>
            <w:tcW w:w="2249" w:type="pct"/>
          </w:tcPr>
          <w:p w:rsidR="00C84E76" w:rsidRDefault="00C84E76">
            <w:pPr>
              <w:rPr>
                <w:color w:val="002060"/>
                <w:sz w:val="22"/>
                <w:szCs w:val="22"/>
              </w:rPr>
            </w:pPr>
          </w:p>
        </w:tc>
        <w:tc>
          <w:tcPr>
            <w:tcW w:w="2248" w:type="pct"/>
          </w:tcPr>
          <w:p w:rsidR="00C84E76" w:rsidRDefault="00C84E76">
            <w:pPr>
              <w:spacing w:line="240" w:lineRule="auto"/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503" w:type="pct"/>
          </w:tcPr>
          <w:p w:rsidR="00C84E76" w:rsidRDefault="00C84E76">
            <w:pPr>
              <w:pStyle w:val="Date"/>
              <w:jc w:val="center"/>
              <w:rPr>
                <w:color w:val="002060"/>
                <w:sz w:val="22"/>
                <w:szCs w:val="22"/>
              </w:rPr>
            </w:pPr>
          </w:p>
        </w:tc>
        <w:tc>
          <w:tcPr>
            <w:tcW w:w="2249" w:type="pct"/>
          </w:tcPr>
          <w:p w:rsidR="00C84E76" w:rsidRDefault="007972B6">
            <w:pPr>
              <w:pStyle w:val="Subsection"/>
              <w:tabs>
                <w:tab w:val="left" w:pos="1236"/>
              </w:tabs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Available upon request</w:t>
            </w:r>
          </w:p>
        </w:tc>
        <w:tc>
          <w:tcPr>
            <w:tcW w:w="2248" w:type="pct"/>
          </w:tcPr>
          <w:p w:rsidR="00C84E76" w:rsidRDefault="00C84E76">
            <w:pPr>
              <w:pStyle w:val="Subsection"/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50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2249" w:type="pct"/>
          </w:tcPr>
          <w:p w:rsidR="00C84E76" w:rsidRDefault="00C84E76">
            <w:pPr>
              <w:pStyle w:val="Subsection"/>
              <w:rPr>
                <w:color w:val="002060"/>
                <w:sz w:val="22"/>
                <w:szCs w:val="22"/>
              </w:rPr>
            </w:pPr>
          </w:p>
        </w:tc>
        <w:tc>
          <w:tcPr>
            <w:tcW w:w="2248" w:type="pct"/>
          </w:tcPr>
          <w:p w:rsidR="00C84E76" w:rsidRDefault="00C84E76">
            <w:pPr>
              <w:pStyle w:val="Subsection"/>
              <w:rPr>
                <w:color w:val="002060"/>
                <w:sz w:val="22"/>
                <w:szCs w:val="22"/>
              </w:rPr>
            </w:pPr>
          </w:p>
        </w:tc>
      </w:tr>
      <w:tr w:rsidR="00C84E76" w:rsidTr="00C84E76">
        <w:tc>
          <w:tcPr>
            <w:tcW w:w="503" w:type="pct"/>
          </w:tcPr>
          <w:p w:rsidR="00C84E76" w:rsidRDefault="00C84E76">
            <w:pPr>
              <w:pStyle w:val="Date"/>
              <w:rPr>
                <w:color w:val="002060"/>
                <w:sz w:val="22"/>
                <w:szCs w:val="22"/>
              </w:rPr>
            </w:pPr>
          </w:p>
        </w:tc>
        <w:tc>
          <w:tcPr>
            <w:tcW w:w="2249" w:type="pct"/>
          </w:tcPr>
          <w:p w:rsidR="00C84E76" w:rsidRDefault="00C84E76">
            <w:pPr>
              <w:pStyle w:val="Subsection"/>
              <w:rPr>
                <w:color w:val="002060"/>
                <w:sz w:val="22"/>
                <w:szCs w:val="22"/>
              </w:rPr>
            </w:pPr>
          </w:p>
        </w:tc>
        <w:tc>
          <w:tcPr>
            <w:tcW w:w="2248" w:type="pct"/>
          </w:tcPr>
          <w:p w:rsidR="00C84E76" w:rsidRDefault="00C84E76">
            <w:pPr>
              <w:pStyle w:val="Subsection"/>
              <w:rPr>
                <w:color w:val="002060"/>
                <w:sz w:val="22"/>
                <w:szCs w:val="22"/>
              </w:rPr>
            </w:pPr>
          </w:p>
        </w:tc>
      </w:tr>
    </w:tbl>
    <w:p w:rsidR="00C84E76" w:rsidRDefault="00C84E76">
      <w:pPr>
        <w:rPr>
          <w:color w:val="002060"/>
          <w:sz w:val="22"/>
          <w:szCs w:val="22"/>
        </w:rPr>
      </w:pPr>
    </w:p>
    <w:sectPr w:rsidR="00C84E76" w:rsidSect="00294083">
      <w:footerReference w:type="default" r:id="rId10"/>
      <w:pgSz w:w="12240" w:h="15840"/>
      <w:pgMar w:top="1080" w:right="1584" w:bottom="1080" w:left="1584" w:header="720" w:footer="720" w:gutter="0"/>
      <w:pgBorders w:offsetFrom="page">
        <w:top w:val="basicWideInline" w:sz="6" w:space="24" w:color="052F61" w:themeColor="accent1"/>
        <w:left w:val="basicWideInline" w:sz="6" w:space="24" w:color="052F61" w:themeColor="accent1"/>
        <w:bottom w:val="basicWideInline" w:sz="6" w:space="24" w:color="052F61" w:themeColor="accent1"/>
        <w:right w:val="basicWideInline" w:sz="6" w:space="24" w:color="052F61" w:themeColor="accent1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9B1" w:rsidRDefault="00C709B1">
      <w:pPr>
        <w:spacing w:after="0"/>
      </w:pPr>
      <w:r>
        <w:separator/>
      </w:r>
    </w:p>
    <w:p w:rsidR="00C709B1" w:rsidRDefault="00C709B1"/>
  </w:endnote>
  <w:endnote w:type="continuationSeparator" w:id="0">
    <w:p w:rsidR="00C709B1" w:rsidRDefault="00C709B1">
      <w:pPr>
        <w:spacing w:after="0"/>
      </w:pPr>
      <w:r>
        <w:continuationSeparator/>
      </w:r>
    </w:p>
    <w:p w:rsidR="00C709B1" w:rsidRDefault="00C70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E76" w:rsidRDefault="007972B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408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9B1" w:rsidRDefault="00C709B1">
      <w:pPr>
        <w:spacing w:after="0"/>
      </w:pPr>
      <w:r>
        <w:separator/>
      </w:r>
    </w:p>
    <w:p w:rsidR="00C709B1" w:rsidRDefault="00C709B1"/>
  </w:footnote>
  <w:footnote w:type="continuationSeparator" w:id="0">
    <w:p w:rsidR="00C709B1" w:rsidRDefault="00C709B1">
      <w:pPr>
        <w:spacing w:after="0"/>
      </w:pPr>
      <w:r>
        <w:continuationSeparator/>
      </w:r>
    </w:p>
    <w:p w:rsidR="00C709B1" w:rsidRDefault="00C709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513D4"/>
    <w:multiLevelType w:val="hybridMultilevel"/>
    <w:tmpl w:val="2E18C9CA"/>
    <w:lvl w:ilvl="0" w:tplc="5180350A">
      <w:start w:val="2016"/>
      <w:numFmt w:val="bullet"/>
      <w:lvlText w:val="-"/>
      <w:lvlJc w:val="left"/>
      <w:pPr>
        <w:ind w:left="46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6AE222CC"/>
    <w:multiLevelType w:val="hybridMultilevel"/>
    <w:tmpl w:val="3D72B1FA"/>
    <w:lvl w:ilvl="0" w:tplc="6F06A4DC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/>
      </w:rPr>
    </w:lvl>
    <w:lvl w:ilvl="1" w:tplc="F8C663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C86C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A2F0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8054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7F87F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2BF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61A65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76EF7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6CA0797"/>
    <w:multiLevelType w:val="singleLevel"/>
    <w:tmpl w:val="B6205A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75"/>
    <w:rsid w:val="00035954"/>
    <w:rsid w:val="0004488A"/>
    <w:rsid w:val="00084D30"/>
    <w:rsid w:val="00185C5B"/>
    <w:rsid w:val="001E55EB"/>
    <w:rsid w:val="00226030"/>
    <w:rsid w:val="002465CD"/>
    <w:rsid w:val="00251F3B"/>
    <w:rsid w:val="00261B0C"/>
    <w:rsid w:val="0026567B"/>
    <w:rsid w:val="00294083"/>
    <w:rsid w:val="002B5AF2"/>
    <w:rsid w:val="00317F16"/>
    <w:rsid w:val="003419C5"/>
    <w:rsid w:val="00393FD3"/>
    <w:rsid w:val="00413AB5"/>
    <w:rsid w:val="00452379"/>
    <w:rsid w:val="00465196"/>
    <w:rsid w:val="004B4492"/>
    <w:rsid w:val="00530EAF"/>
    <w:rsid w:val="005F6255"/>
    <w:rsid w:val="0063132D"/>
    <w:rsid w:val="006A4FE6"/>
    <w:rsid w:val="006D55F5"/>
    <w:rsid w:val="0072782B"/>
    <w:rsid w:val="007972B6"/>
    <w:rsid w:val="007A5F68"/>
    <w:rsid w:val="007F25BA"/>
    <w:rsid w:val="00817625"/>
    <w:rsid w:val="00867132"/>
    <w:rsid w:val="008A36CF"/>
    <w:rsid w:val="008C7D81"/>
    <w:rsid w:val="008F7F53"/>
    <w:rsid w:val="009816F2"/>
    <w:rsid w:val="00A12565"/>
    <w:rsid w:val="00AF58D2"/>
    <w:rsid w:val="00B240B9"/>
    <w:rsid w:val="00B40A4C"/>
    <w:rsid w:val="00B83806"/>
    <w:rsid w:val="00BA3361"/>
    <w:rsid w:val="00C709B1"/>
    <w:rsid w:val="00C84E76"/>
    <w:rsid w:val="00C97FB7"/>
    <w:rsid w:val="00CD5428"/>
    <w:rsid w:val="00D5109A"/>
    <w:rsid w:val="00D67240"/>
    <w:rsid w:val="00E1309A"/>
    <w:rsid w:val="00E706D8"/>
    <w:rsid w:val="00E942B9"/>
    <w:rsid w:val="00EE2975"/>
    <w:rsid w:val="00F20DDF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4D913-5F8A-4A0D-8633-3D24ABB8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7B0A60" w:themeColor="accent2" w:themeShade="BF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7B0A60" w:themeColor="accent2" w:themeShade="BF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table" w:customStyle="1" w:styleId="ResumeTable1">
    <w:name w:val="Resume Table1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</w:style>
  <w:style w:type="paragraph" w:styleId="NoSpacing">
    <w:name w:val="No Spacing"/>
    <w:uiPriority w:val="1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52F61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D2E46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sume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EF098-B785-4E22-BE5D-8E187EEE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146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 OBAID SALMAN</dc:creator>
  <cp:lastModifiedBy>Hp</cp:lastModifiedBy>
  <cp:revision>3</cp:revision>
  <dcterms:created xsi:type="dcterms:W3CDTF">2019-01-30T09:55:00Z</dcterms:created>
  <dcterms:modified xsi:type="dcterms:W3CDTF">2019-02-13T10:49:00Z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