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مريم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كاظم</w:t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07730570555</w:t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Maryamkassim95@gmail.com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171450</wp:posOffset>
                </wp:positionH>
                <wp:positionV relativeFrom="paragraph">
                  <wp:posOffset>243205</wp:posOffset>
                </wp:positionV>
                <wp:extent cx="5762625" cy="9525"/>
                <wp:effectExtent b="28575" l="0" r="9525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171450</wp:posOffset>
                </wp:positionH>
                <wp:positionV relativeFrom="paragraph">
                  <wp:posOffset>243205</wp:posOffset>
                </wp:positionV>
                <wp:extent cx="5772150" cy="3810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التحصيل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الدراسي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1"/>
        </w:rPr>
        <w:t xml:space="preserve">بكلوريوس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بغداد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واقتصاد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مصرفية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لسنة</w:t>
      </w:r>
      <w:r w:rsidDel="00000000" w:rsidR="00000000" w:rsidRPr="00000000">
        <w:rPr>
          <w:rtl w:val="1"/>
        </w:rPr>
        <w:t xml:space="preserve"> 2017-2018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123825</wp:posOffset>
                </wp:positionH>
                <wp:positionV relativeFrom="paragraph">
                  <wp:posOffset>178435</wp:posOffset>
                </wp:positionV>
                <wp:extent cx="5762625" cy="9525"/>
                <wp:effectExtent b="28575" l="0" r="9525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123825</wp:posOffset>
                </wp:positionH>
                <wp:positionV relativeFrom="paragraph">
                  <wp:posOffset>178435</wp:posOffset>
                </wp:positionV>
                <wp:extent cx="5772150" cy="381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bidi w:val="1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خبره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مجال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تدقيق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ورقابة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76" w:lineRule="auto"/>
        <w:ind w:left="108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التأكد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صحة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ودقة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المحاسبية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المثبتة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بالدفاتر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والسجلات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أكتشاف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يوجد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بالدفاتر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والسجلات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اخطاء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غش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وتزوير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مراقبة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الخطط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ومتابعة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تنفيذها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معايير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دولية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والدقيقة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للإفصاح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بالقوائم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بمؤس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منشأة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إنتاجيتها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تسويق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مصرفي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التبادل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البنك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والعميل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إشباع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رغبات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وتحقيق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البنك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وعملية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التسويق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المصرفي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بالتعرف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رغبات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تلبي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الرغبات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السعر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والوقت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لتقديم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السياسات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الترويحية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لتقديم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وعليه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التسويق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المصرفي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وينتهي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5f5f5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ادارة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التامين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والخطر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لاهتمام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بالمفاهيم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بالخطر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والوسائل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للتعامل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تتيح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والتقليل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المتحققة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والسعي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نهائيا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الإداري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يقضي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بضرورة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إتباع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والسياسات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وبأقل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التكاليف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فإدارة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المتكامل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مجابهة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أينما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والسيطرة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بأفضل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الوسائل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المؤسسات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مالية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تزويد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بالمال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تحويله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المستثمرين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هيئة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قروض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ودائع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استثمارات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أنواع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المؤسسات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انتشارا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البنوك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بنوك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الاستثمار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بنوك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الوساطة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وكلاء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الاستثمار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التأمين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وصناديق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إدارة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1"/>
        </w:rPr>
        <w:t xml:space="preserve">الأصول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محاسبة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الحسابات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والد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فاتر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حاسبي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ستندات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فحصا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دقيقا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ادارة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واعمال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bidi w:val="1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والمشاريع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t xml:space="preserve">الأرباح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241300</wp:posOffset>
                </wp:positionV>
                <wp:extent cx="5762625" cy="9525"/>
                <wp:effectExtent b="28575" l="0" r="9525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241300</wp:posOffset>
                </wp:positionV>
                <wp:extent cx="5772150" cy="38100"/>
                <wp:effectExtent b="0" l="0" r="0" t="0"/>
                <wp:wrapNone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Microsoft excel                                                                                  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393802</wp:posOffset>
                </wp:positionV>
                <wp:extent cx="6019800" cy="0"/>
                <wp:effectExtent b="19050" l="0" r="1905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393802</wp:posOffset>
                </wp:positionV>
                <wp:extent cx="6038850" cy="1905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60" w:before="0" w:line="259" w:lineRule="auto"/>
        <w:ind w:left="720" w:right="0" w:hanging="720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Languages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60" w:before="0" w:line="259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Arabic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60" w:before="0" w:line="259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English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60" w:before="0" w:line="259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60" w:before="0" w:line="259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60" w:before="0" w:line="259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B3D0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A82077"/>
    <w:pPr>
      <w:tabs>
        <w:tab w:val="center" w:pos="4513"/>
        <w:tab w:val="right" w:pos="9026"/>
      </w:tabs>
      <w:bidi w:val="1"/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A82077"/>
  </w:style>
  <w:style w:type="character" w:styleId="Hyperlink">
    <w:name w:val="Hyperlink"/>
    <w:basedOn w:val="DefaultParagraphFont"/>
    <w:uiPriority w:val="99"/>
    <w:semiHidden w:val="1"/>
    <w:unhideWhenUsed w:val="1"/>
    <w:rsid w:val="00A8207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