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Breast Cancer Classification</w:t>
      </w:r>
    </w:p>
    <w:p>
      <w:pPr>
        <w:spacing w:after="60"/>
        <w:jc w:val="center"/>
      </w:pPr>
      <w:r>
        <w:rPr>
          <w:rFonts w:ascii="Calibri" w:cs="Calibri" w:eastAsia="Calibri" w:hAnsi="Calibri"/>
          <w:i/>
          <w:iCs/>
          <w:color w:val="595959"/>
          <w:sz w:val="22"/>
          <w:szCs w:val="22"/>
        </w:rPr>
        <w:t xml:space="preserve">Model Training &amp; Evaluation Summary</w:t>
      </w:r>
    </w:p>
    <w:p>
      <w:pPr>
        <w:pBdr>
          <w:bottom w:val="single" w:color="1F3864" w:sz="8" w:space="8"/>
        </w:pBdr>
        <w:spacing w:after="200"/>
        <w:jc w:val="center"/>
      </w:pPr>
      <w:r>
        <w:rPr>
          <w:rFonts w:ascii="Calibri" w:cs="Calibri" w:eastAsia="Calibri" w:hAnsi="Calibri"/>
          <w:color w:val="333333"/>
          <w:sz w:val="20"/>
          <w:szCs w:val="20"/>
        </w:rPr>
        <w:t xml:space="preserve">Muhammad Shaheer Zahid</w:t>
      </w:r>
    </w:p>
    <w:p>
      <w:pPr>
        <w:pBdr>
          <w:bottom w:val="single" w:color="1F3864" w:sz="8" w:space="4"/>
        </w:pBdr>
        <w:spacing w:after="140" w:before="280"/>
      </w:pPr>
      <w:r>
        <w:rPr>
          <w:rFonts w:ascii="Calibri" w:cs="Calibri" w:eastAsia="Calibri" w:hAnsi="Calibri"/>
          <w:b/>
          <w:bCs/>
          <w:color w:val="1F3864"/>
          <w:sz w:val="28"/>
          <w:szCs w:val="28"/>
        </w:rPr>
        <w:t xml:space="preserve">1. Objective</w:t>
      </w:r>
    </w:p>
    <w:p>
      <w:pPr>
        <w:spacing w:after="120"/>
      </w:pPr>
      <w:r>
        <w:rPr>
          <w:rFonts w:ascii="Calibri" w:cs="Calibri" w:eastAsia="Calibri" w:hAnsi="Calibri"/>
          <w:sz w:val="22"/>
          <w:szCs w:val="22"/>
        </w:rPr>
        <w:t xml:space="preserve">To train and evaluate machine learning models on the Breast Cancer Wisconsin dataset, in order to benchmark model performance on a dataset where the features are strong, direct predictors of the target outcome.</w:t>
      </w:r>
    </w:p>
    <w:p>
      <w:pPr>
        <w:pBdr>
          <w:bottom w:val="single" w:color="1F3864" w:sz="8" w:space="4"/>
        </w:pBdr>
        <w:spacing w:after="140" w:before="280"/>
      </w:pPr>
      <w:r>
        <w:rPr>
          <w:rFonts w:ascii="Calibri" w:cs="Calibri" w:eastAsia="Calibri" w:hAnsi="Calibri"/>
          <w:b/>
          <w:bCs/>
          <w:color w:val="1F3864"/>
          <w:sz w:val="28"/>
          <w:szCs w:val="28"/>
        </w:rPr>
        <w:t xml:space="preserve">2. Dataset</w:t>
      </w:r>
    </w:p>
    <w:p>
      <w:pPr>
        <w:spacing w:after="120"/>
      </w:pPr>
      <w:r>
        <w:rPr>
          <w:rFonts w:ascii="Calibri" w:cs="Calibri" w:eastAsia="Calibri" w:hAnsi="Calibri"/>
          <w:sz w:val="22"/>
          <w:szCs w:val="22"/>
        </w:rPr>
        <w:t xml:space="preserve">The Breast Cancer Wisconsin dataset (built into scikit-learn) contains 569 patient records with 30 numeric features derived from digitized images of breast tissue (e.g. cell radius, texture, perimeter, smoothness). The target variable classifies each case as Malignant or Benign.</w:t>
      </w:r>
    </w:p>
    <w:p>
      <w:pPr>
        <w:pStyle w:val="ListParagraph"/>
        <w:numPr>
          <w:ilvl w:val="0"/>
          <w:numId w:val="2"/>
        </w:numPr>
        <w:spacing w:after="60"/>
      </w:pPr>
      <w:r>
        <w:rPr>
          <w:rFonts w:ascii="Calibri" w:cs="Calibri" w:eastAsia="Calibri" w:hAnsi="Calibri"/>
          <w:sz w:val="22"/>
          <w:szCs w:val="22"/>
        </w:rPr>
        <w:t xml:space="preserve">No missing values found.</w:t>
      </w:r>
    </w:p>
    <w:p>
      <w:pPr>
        <w:pStyle w:val="ListParagraph"/>
        <w:numPr>
          <w:ilvl w:val="0"/>
          <w:numId w:val="2"/>
        </w:numPr>
        <w:spacing w:after="60"/>
      </w:pPr>
      <w:r>
        <w:rPr>
          <w:rFonts w:ascii="Calibri" w:cs="Calibri" w:eastAsia="Calibri" w:hAnsi="Calibri"/>
          <w:sz w:val="22"/>
          <w:szCs w:val="22"/>
        </w:rPr>
        <w:t xml:space="preserve">No duplicate rows found.</w:t>
      </w:r>
    </w:p>
    <w:p>
      <w:pPr>
        <w:pStyle w:val="ListParagraph"/>
        <w:numPr>
          <w:ilvl w:val="0"/>
          <w:numId w:val="2"/>
        </w:numPr>
        <w:spacing w:after="60"/>
      </w:pPr>
      <w:r>
        <w:rPr>
          <w:rFonts w:ascii="Calibri" w:cs="Calibri" w:eastAsia="Calibri" w:hAnsi="Calibri"/>
          <w:sz w:val="22"/>
          <w:szCs w:val="22"/>
        </w:rPr>
        <w:t xml:space="preserve">Class distribution: 357 Benign, 212 Malignant.</w:t>
      </w:r>
    </w:p>
    <w:p>
      <w:pPr>
        <w:pBdr>
          <w:bottom w:val="single" w:color="1F3864" w:sz="8" w:space="4"/>
        </w:pBdr>
        <w:spacing w:after="140" w:before="280"/>
      </w:pPr>
      <w:r>
        <w:rPr>
          <w:rFonts w:ascii="Calibri" w:cs="Calibri" w:eastAsia="Calibri" w:hAnsi="Calibri"/>
          <w:b/>
          <w:bCs/>
          <w:color w:val="1F3864"/>
          <w:sz w:val="28"/>
          <w:szCs w:val="28"/>
        </w:rPr>
        <w:t xml:space="preserve">3. Train/Test Split</w:t>
      </w:r>
    </w:p>
    <w:p>
      <w:pPr>
        <w:spacing w:after="120"/>
      </w:pPr>
      <w:r>
        <w:rPr>
          <w:rFonts w:ascii="Calibri" w:cs="Calibri" w:eastAsia="Calibri" w:hAnsi="Calibri"/>
          <w:sz w:val="22"/>
          <w:szCs w:val="22"/>
        </w:rPr>
        <w:t xml:space="preserve">The dataset was split into 80% training data (455 rows) and 20% testing data (114 rows). Features were standardized using a scaler fitted only on the training set to avoid data leakage.</w:t>
      </w:r>
    </w:p>
    <w:p>
      <w:pPr>
        <w:pBdr>
          <w:bottom w:val="single" w:color="1F3864" w:sz="8" w:space="4"/>
        </w:pBdr>
        <w:spacing w:after="140" w:before="280"/>
      </w:pPr>
      <w:r>
        <w:rPr>
          <w:rFonts w:ascii="Calibri" w:cs="Calibri" w:eastAsia="Calibri" w:hAnsi="Calibri"/>
          <w:b/>
          <w:bCs/>
          <w:color w:val="1F3864"/>
          <w:sz w:val="28"/>
          <w:szCs w:val="28"/>
        </w:rPr>
        <w:t xml:space="preserve">4. Models Trained &amp; Results</w:t>
      </w:r>
    </w:p>
    <w:p>
      <w:pPr>
        <w:spacing w:after="120"/>
      </w:pPr>
      <w:r>
        <w:rPr>
          <w:rFonts w:ascii="Calibri" w:cs="Calibri" w:eastAsia="Calibri" w:hAnsi="Calibri"/>
          <w:sz w:val="22"/>
          <w:szCs w:val="22"/>
        </w:rPr>
        <w:t xml:space="preserve">Three models were trained on the training set and evaluated on the unseen test set:</w:t>
      </w:r>
    </w:p>
    <w:p>
      <w:pPr>
        <w:pStyle w:val="ListParagraph"/>
        <w:numPr>
          <w:ilvl w:val="0"/>
          <w:numId w:val="2"/>
        </w:numPr>
        <w:spacing w:after="60"/>
      </w:pPr>
      <w:r>
        <w:rPr>
          <w:rFonts w:ascii="Calibri" w:cs="Calibri" w:eastAsia="Calibri" w:hAnsi="Calibri"/>
          <w:sz w:val="22"/>
          <w:szCs w:val="22"/>
        </w:rPr>
        <w:t xml:space="preserve">Logistic Regression</w:t>
      </w:r>
    </w:p>
    <w:p>
      <w:pPr>
        <w:pStyle w:val="ListParagraph"/>
        <w:numPr>
          <w:ilvl w:val="0"/>
          <w:numId w:val="2"/>
        </w:numPr>
        <w:spacing w:after="60"/>
      </w:pPr>
      <w:r>
        <w:rPr>
          <w:rFonts w:ascii="Calibri" w:cs="Calibri" w:eastAsia="Calibri" w:hAnsi="Calibri"/>
          <w:sz w:val="22"/>
          <w:szCs w:val="22"/>
        </w:rPr>
        <w:t xml:space="preserve">Random Forest</w:t>
      </w:r>
    </w:p>
    <w:p>
      <w:pPr>
        <w:pStyle w:val="ListParagraph"/>
        <w:numPr>
          <w:ilvl w:val="0"/>
          <w:numId w:val="2"/>
        </w:numPr>
        <w:spacing w:after="60"/>
      </w:pPr>
      <w:r>
        <w:rPr>
          <w:rFonts w:ascii="Calibri" w:cs="Calibri" w:eastAsia="Calibri" w:hAnsi="Calibri"/>
          <w:sz w:val="22"/>
          <w:szCs w:val="22"/>
        </w:rPr>
        <w:t xml:space="preserve">Gradient Boosting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1F3864" w:color="auto" w:val="clear"/>
          </w:tcPr>
          <w:p>
            <w:r>
              <w:rPr>
                <w:rFonts w:ascii="Calibri" w:cs="Calibri" w:eastAsia="Calibri" w:hAnsi="Calibri"/>
                <w:b/>
                <w:bCs/>
                <w:color w:val="FFFFFF"/>
                <w:sz w:val="20"/>
                <w:szCs w:val="20"/>
              </w:rPr>
              <w:t xml:space="preserve">Model</w:t>
            </w:r>
          </w:p>
        </w:tc>
        <w:tc>
          <w:tcPr>
            <w:tcW w:type="pct" w:w="18%"/>
            <w:shd w:fill="1F3864" w:color="auto" w:val="clear"/>
          </w:tcPr>
          <w:p>
            <w:r>
              <w:rPr>
                <w:rFonts w:ascii="Calibri" w:cs="Calibri" w:eastAsia="Calibri" w:hAnsi="Calibri"/>
                <w:b/>
                <w:bCs/>
                <w:color w:val="FFFFFF"/>
                <w:sz w:val="20"/>
                <w:szCs w:val="20"/>
              </w:rPr>
              <w:t xml:space="preserve">Accuracy</w:t>
            </w:r>
          </w:p>
        </w:tc>
        <w:tc>
          <w:tcPr>
            <w:tcW w:type="pct" w:w="18%"/>
            <w:shd w:fill="1F3864" w:color="auto" w:val="clear"/>
          </w:tcPr>
          <w:p>
            <w:r>
              <w:rPr>
                <w:rFonts w:ascii="Calibri" w:cs="Calibri" w:eastAsia="Calibri" w:hAnsi="Calibri"/>
                <w:b/>
                <w:bCs/>
                <w:color w:val="FFFFFF"/>
                <w:sz w:val="20"/>
                <w:szCs w:val="20"/>
              </w:rPr>
              <w:t xml:space="preserve">Precision</w:t>
            </w:r>
          </w:p>
        </w:tc>
        <w:tc>
          <w:tcPr>
            <w:tcW w:type="pct" w:w="18%"/>
            <w:shd w:fill="1F3864" w:color="auto" w:val="clear"/>
          </w:tcPr>
          <w:p>
            <w:r>
              <w:rPr>
                <w:rFonts w:ascii="Calibri" w:cs="Calibri" w:eastAsia="Calibri" w:hAnsi="Calibri"/>
                <w:b/>
                <w:bCs/>
                <w:color w:val="FFFFFF"/>
                <w:sz w:val="20"/>
                <w:szCs w:val="20"/>
              </w:rPr>
              <w:t xml:space="preserve">Recall</w:t>
            </w:r>
          </w:p>
        </w:tc>
        <w:tc>
          <w:tcPr>
            <w:tcW w:type="pct" w:w="18%"/>
            <w:shd w:fill="1F3864" w:color="auto" w:val="clear"/>
          </w:tcPr>
          <w:p>
            <w:r>
              <w:rPr>
                <w:rFonts w:ascii="Calibri" w:cs="Calibri" w:eastAsia="Calibri" w:hAnsi="Calibri"/>
                <w:b/>
                <w:bCs/>
                <w:color w:val="FFFFFF"/>
                <w:sz w:val="20"/>
                <w:szCs w:val="20"/>
              </w:rPr>
              <w:t xml:space="preserve">F1 Score</w:t>
            </w:r>
          </w:p>
        </w:tc>
      </w:tr>
      <w:tr>
        <w:tc>
          <w:p>
            <w:r>
              <w:rPr>
                <w:rFonts w:ascii="Calibri" w:cs="Calibri" w:eastAsia="Calibri" w:hAnsi="Calibri"/>
                <w:b/>
                <w:bCs/>
                <w:color w:val="1A1A1A"/>
                <w:sz w:val="20"/>
                <w:szCs w:val="20"/>
              </w:rPr>
              <w:t xml:space="preserve">Logistic Regression</w:t>
            </w:r>
          </w:p>
        </w:tc>
        <w:tc>
          <w:p>
            <w:r>
              <w:rPr>
                <w:rFonts w:ascii="Calibri" w:cs="Calibri" w:eastAsia="Calibri" w:hAnsi="Calibri"/>
                <w:b w:val="false"/>
                <w:bCs w:val="false"/>
                <w:color w:val="1A1A1A"/>
                <w:sz w:val="20"/>
                <w:szCs w:val="20"/>
              </w:rPr>
              <w:t xml:space="preserve">98.2%</w:t>
            </w:r>
          </w:p>
        </w:tc>
        <w:tc>
          <w:p>
            <w:r>
              <w:rPr>
                <w:rFonts w:ascii="Calibri" w:cs="Calibri" w:eastAsia="Calibri" w:hAnsi="Calibri"/>
                <w:b w:val="false"/>
                <w:bCs w:val="false"/>
                <w:color w:val="1A1A1A"/>
                <w:sz w:val="20"/>
                <w:szCs w:val="20"/>
              </w:rPr>
              <w:t xml:space="preserve">0.99</w:t>
            </w:r>
          </w:p>
        </w:tc>
        <w:tc>
          <w:p>
            <w:r>
              <w:rPr>
                <w:rFonts w:ascii="Calibri" w:cs="Calibri" w:eastAsia="Calibri" w:hAnsi="Calibri"/>
                <w:b w:val="false"/>
                <w:bCs w:val="false"/>
                <w:color w:val="1A1A1A"/>
                <w:sz w:val="20"/>
                <w:szCs w:val="20"/>
              </w:rPr>
              <w:t xml:space="preserve">0.99</w:t>
            </w:r>
          </w:p>
        </w:tc>
        <w:tc>
          <w:p>
            <w:r>
              <w:rPr>
                <w:rFonts w:ascii="Calibri" w:cs="Calibri" w:eastAsia="Calibri" w:hAnsi="Calibri"/>
                <w:b w:val="false"/>
                <w:bCs w:val="false"/>
                <w:color w:val="1A1A1A"/>
                <w:sz w:val="20"/>
                <w:szCs w:val="20"/>
              </w:rPr>
              <w:t xml:space="preserve">0.99</w:t>
            </w:r>
          </w:p>
        </w:tc>
      </w:tr>
      <w:tr>
        <w:tc>
          <w:tcPr>
            <w:shd w:fill="F2F2F2" w:color="auto" w:val="clear"/>
          </w:tcPr>
          <w:p>
            <w:r>
              <w:rPr>
                <w:rFonts w:ascii="Calibri" w:cs="Calibri" w:eastAsia="Calibri" w:hAnsi="Calibri"/>
                <w:b/>
                <w:bCs/>
                <w:color w:val="1A1A1A"/>
                <w:sz w:val="20"/>
                <w:szCs w:val="20"/>
              </w:rPr>
              <w:t xml:space="preserve">Random Forest</w:t>
            </w:r>
          </w:p>
        </w:tc>
        <w:tc>
          <w:tcPr>
            <w:shd w:fill="F2F2F2" w:color="auto" w:val="clear"/>
          </w:tcPr>
          <w:p>
            <w:r>
              <w:rPr>
                <w:rFonts w:ascii="Calibri" w:cs="Calibri" w:eastAsia="Calibri" w:hAnsi="Calibri"/>
                <w:b w:val="false"/>
                <w:bCs w:val="false"/>
                <w:color w:val="1A1A1A"/>
                <w:sz w:val="20"/>
                <w:szCs w:val="20"/>
              </w:rPr>
              <w:t xml:space="preserve">95.6%</w:t>
            </w:r>
          </w:p>
        </w:tc>
        <w:tc>
          <w:tcPr>
            <w:shd w:fill="F2F2F2" w:color="auto" w:val="clear"/>
          </w:tcPr>
          <w:p>
            <w:r>
              <w:rPr>
                <w:rFonts w:ascii="Calibri" w:cs="Calibri" w:eastAsia="Calibri" w:hAnsi="Calibri"/>
                <w:b w:val="false"/>
                <w:bCs w:val="false"/>
                <w:color w:val="1A1A1A"/>
                <w:sz w:val="20"/>
                <w:szCs w:val="20"/>
              </w:rPr>
              <w:t xml:space="preserve">0.96</w:t>
            </w:r>
          </w:p>
        </w:tc>
        <w:tc>
          <w:tcPr>
            <w:shd w:fill="F2F2F2" w:color="auto" w:val="clear"/>
          </w:tcPr>
          <w:p>
            <w:r>
              <w:rPr>
                <w:rFonts w:ascii="Calibri" w:cs="Calibri" w:eastAsia="Calibri" w:hAnsi="Calibri"/>
                <w:b w:val="false"/>
                <w:bCs w:val="false"/>
                <w:color w:val="1A1A1A"/>
                <w:sz w:val="20"/>
                <w:szCs w:val="20"/>
              </w:rPr>
              <w:t xml:space="preserve">0.97</w:t>
            </w:r>
          </w:p>
        </w:tc>
        <w:tc>
          <w:tcPr>
            <w:shd w:fill="F2F2F2" w:color="auto" w:val="clear"/>
          </w:tcPr>
          <w:p>
            <w:r>
              <w:rPr>
                <w:rFonts w:ascii="Calibri" w:cs="Calibri" w:eastAsia="Calibri" w:hAnsi="Calibri"/>
                <w:b w:val="false"/>
                <w:bCs w:val="false"/>
                <w:color w:val="1A1A1A"/>
                <w:sz w:val="20"/>
                <w:szCs w:val="20"/>
              </w:rPr>
              <w:t xml:space="preserve">0.97</w:t>
            </w:r>
          </w:p>
        </w:tc>
      </w:tr>
      <w:tr>
        <w:tc>
          <w:p>
            <w:r>
              <w:rPr>
                <w:rFonts w:ascii="Calibri" w:cs="Calibri" w:eastAsia="Calibri" w:hAnsi="Calibri"/>
                <w:b/>
                <w:bCs/>
                <w:color w:val="1A1A1A"/>
                <w:sz w:val="20"/>
                <w:szCs w:val="20"/>
              </w:rPr>
              <w:t xml:space="preserve">Gradient Boosting</w:t>
            </w:r>
          </w:p>
        </w:tc>
        <w:tc>
          <w:p>
            <w:r>
              <w:rPr>
                <w:rFonts w:ascii="Calibri" w:cs="Calibri" w:eastAsia="Calibri" w:hAnsi="Calibri"/>
                <w:b w:val="false"/>
                <w:bCs w:val="false"/>
                <w:color w:val="1A1A1A"/>
                <w:sz w:val="20"/>
                <w:szCs w:val="20"/>
              </w:rPr>
              <w:t xml:space="preserve">95.6%</w:t>
            </w:r>
          </w:p>
        </w:tc>
        <w:tc>
          <w:p>
            <w:r>
              <w:rPr>
                <w:rFonts w:ascii="Calibri" w:cs="Calibri" w:eastAsia="Calibri" w:hAnsi="Calibri"/>
                <w:b w:val="false"/>
                <w:bCs w:val="false"/>
                <w:color w:val="1A1A1A"/>
                <w:sz w:val="20"/>
                <w:szCs w:val="20"/>
              </w:rPr>
              <w:t xml:space="preserve">0.95</w:t>
            </w:r>
          </w:p>
        </w:tc>
        <w:tc>
          <w:p>
            <w:r>
              <w:rPr>
                <w:rFonts w:ascii="Calibri" w:cs="Calibri" w:eastAsia="Calibri" w:hAnsi="Calibri"/>
                <w:b w:val="false"/>
                <w:bCs w:val="false"/>
                <w:color w:val="1A1A1A"/>
                <w:sz w:val="20"/>
                <w:szCs w:val="20"/>
              </w:rPr>
              <w:t xml:space="preserve">0.99</w:t>
            </w:r>
          </w:p>
        </w:tc>
        <w:tc>
          <w:p>
            <w:r>
              <w:rPr>
                <w:rFonts w:ascii="Calibri" w:cs="Calibri" w:eastAsia="Calibri" w:hAnsi="Calibri"/>
                <w:b w:val="false"/>
                <w:bCs w:val="false"/>
                <w:color w:val="1A1A1A"/>
                <w:sz w:val="20"/>
                <w:szCs w:val="20"/>
              </w:rPr>
              <w:t xml:space="preserve">0.97</w:t>
            </w:r>
          </w:p>
        </w:tc>
      </w:tr>
    </w:tbl>
    <w:p>
      <w:pPr>
        <w:spacing w:after="160"/>
      </w:pPr>
    </w:p>
    <w:p>
      <w:pPr>
        <w:spacing w:after="120"/>
      </w:pPr>
      <w:r>
        <w:rPr>
          <w:rFonts w:ascii="Calibri" w:cs="Calibri" w:eastAsia="Calibri" w:hAnsi="Calibri"/>
          <w:sz w:val="22"/>
          <w:szCs w:val="22"/>
        </w:rPr>
        <w:t xml:space="preserve">Best model: Logistic Regression, achieving 98.2% test accuracy, with 0.99 precision and 0.99 recall — misclassifying only 2 out of 114 test cases.</w:t>
      </w:r>
    </w:p>
    <w:p>
      <w:pPr>
        <w:pBdr>
          <w:bottom w:val="single" w:color="1F3864" w:sz="8" w:space="4"/>
        </w:pBdr>
        <w:spacing w:after="140" w:before="280"/>
      </w:pPr>
      <w:r>
        <w:rPr>
          <w:rFonts w:ascii="Calibri" w:cs="Calibri" w:eastAsia="Calibri" w:hAnsi="Calibri"/>
          <w:b/>
          <w:bCs/>
          <w:color w:val="1F3864"/>
          <w:sz w:val="28"/>
          <w:szCs w:val="28"/>
        </w:rPr>
        <w:t xml:space="preserve">5. Confusion Matrices</w:t>
      </w:r>
    </w:p>
    <w:p>
      <w:pPr>
        <w:spacing w:after="12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476375"/>
                    </a:xfrm>
                    <a:prstGeom prst="rect">
                      <a:avLst/>
                    </a:prstGeom>
                  </pic:spPr>
                </pic:pic>
              </a:graphicData>
            </a:graphic>
          </wp:inline>
        </w:drawing>
      </w:r>
    </w:p>
    <w:p>
      <w:pPr>
        <w:pBdr>
          <w:bottom w:val="single" w:color="1F3864" w:sz="8" w:space="4"/>
        </w:pBdr>
        <w:spacing w:after="140" w:before="280"/>
      </w:pPr>
      <w:r>
        <w:rPr>
          <w:rFonts w:ascii="Calibri" w:cs="Calibri" w:eastAsia="Calibri" w:hAnsi="Calibri"/>
          <w:b/>
          <w:bCs/>
          <w:color w:val="1F3864"/>
          <w:sz w:val="28"/>
          <w:szCs w:val="28"/>
        </w:rPr>
        <w:t xml:space="preserve">6. Conclusion</w:t>
      </w:r>
    </w:p>
    <w:p>
      <w:pPr>
        <w:spacing w:after="120"/>
      </w:pPr>
      <w:r>
        <w:rPr>
          <w:rFonts w:ascii="Calibri" w:cs="Calibri" w:eastAsia="Calibri" w:hAnsi="Calibri"/>
          <w:sz w:val="22"/>
          <w:szCs w:val="22"/>
        </w:rPr>
        <w:t xml:space="preserve">All three models performed strongly on this dataset, reaching 95–98% accuracy. This confirms that when the input features have a direct, well-established relationship with the target variable (as medical measurements do with tumor classification), standard machine learning models can achieve high accuracy with minimal tuning. Logistic Regression performed best overall, suggesting the relationship between the features and the outcome is largely linear.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4545f4c8ec1aaa8e7aceee694a138c0b7cee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2026-09-17T07:20:07.578Z</dcterms:created>
  <dcterms:modified xsi:type="dcterms:W3CDTF">2026-09-17T07:20:07.578Z</dcterms:modified>
</cp:coreProperties>
</file>

<file path=docProps/custom.xml><?xml version="1.0" encoding="utf-8"?>
<Properties xmlns="http://schemas.openxmlformats.org/officeDocument/2006/custom-properties" xmlns:vt="http://schemas.openxmlformats.org/officeDocument/2006/docPropsVTypes"/>
</file>