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GulfLink Logistics — Customs Clearance Notes (Jebel Ali)</w:t>
      </w:r>
    </w:p>
    <w:p>
      <w:r>
        <w:t>Policy GL-OPS-CC-09 | Owner: Operations / Customs Broker Liaison | AED / UAE</w:t>
      </w:r>
    </w:p>
    <w:p>
      <w:pPr>
        <w:pStyle w:val="Heading2"/>
      </w:pPr>
      <w:r>
        <w:t>Context</w:t>
      </w:r>
    </w:p>
    <w:p>
      <w:r>
        <w:t>Clearance delays at Jebel Ali create demurrage and storage charges that flow into AP. Brokers still email PDF packs; ops clerks re-enter HS codes and container IDs into CargoWise and Excel. This manual process is tedious and error-prone; finance waits on CFO approvals when charges exceed AED 25,000.</w:t>
      </w:r>
    </w:p>
    <w:p>
      <w:pPr>
        <w:pStyle w:val="Heading2"/>
      </w:pPr>
      <w:r>
        <w:t>Recurring bottlenecks</w:t>
      </w:r>
    </w:p>
    <w:p>
      <w:pPr>
        <w:pStyle w:val="ListBullet"/>
      </w:pPr>
      <w:r>
        <w:t>Approval bottleneck: storage invoices over AED 25,000 wait for CFO sign-off.</w:t>
      </w:r>
    </w:p>
    <w:p>
      <w:pPr>
        <w:pStyle w:val="ListBullet"/>
      </w:pPr>
      <w:r>
        <w:t>Data silos: customs broker portal, CargoWise, and SAP do not share a single shipment ID.</w:t>
      </w:r>
    </w:p>
    <w:p>
      <w:pPr>
        <w:pStyle w:val="ListBullet"/>
      </w:pPr>
      <w:r>
        <w:t>Spreadsheet dependency: daily demurrage tracker is an Excel file emailed on WhatsApp groups.</w:t>
      </w:r>
    </w:p>
    <w:p>
      <w:pPr>
        <w:pStyle w:val="ListBullet"/>
      </w:pPr>
      <w:r>
        <w:t>Coordination overhead: meetings and email handoffs between broker, warehouse, and finance.</w:t>
      </w:r>
    </w:p>
    <w:p>
      <w:pPr>
        <w:pStyle w:val="ListBullet"/>
      </w:pPr>
      <w:r>
        <w:t>Repetitive copy-paste of vessel ETA and free-time expiry into the warehouse cost sheet.</w:t>
      </w:r>
    </w:p>
    <w:p>
      <w:pPr>
        <w:pStyle w:val="Heading2"/>
      </w:pPr>
      <w:r>
        <w:t>Controls</w:t>
      </w:r>
    </w:p>
    <w:p>
      <w:r>
        <w:t>Dual approval for demurrage &gt; AED 5,000. Wet-ink POD exceptions must be typed into Excel before release. Month-end: reconcile Excel demurrage log to SAP — currently 8–12 hours of matching work.</w:t>
      </w:r>
    </w:p>
    <w:p>
      <w:pPr>
        <w:pStyle w:val="Heading2"/>
      </w:pPr>
      <w:r>
        <w:t>Systems mentioned</w:t>
      </w:r>
    </w:p>
    <w:p>
      <w:r>
        <w:t>CargoWise TMS, SAP S/4HANA, Excel, SharePoint, Outlook, WhatsApp Business, broker ePortal.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