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GulfLink Logistics LLC — Customs Clearance Notes (Jebel Ali / Dubai Free Zone)
Process owner: Customs Ops Lead. Finance impact: demurrage and storage accruals.
Steps: 1) Receive BL and commercial invoice 2) Submit to clearing agent 3) Pay duties in AED
4) Update TMS milestone 5) Finance accrues demurrage if gate-out delayed.
Friction: Manual spreadsheet trackers for duty payments when SAP tax codes fail.
Approval bottlenecks for urgent duty payments above AED 10,000.
Data silos between free-zone inventory and corporate GL.
Repetitive time-consuming re-entry of HS codes into Excel before SAP.</w:t>
      </w:r>
    </w:p>
  </w:body>
</w:document>
</file>