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Рынок Marosim и задачи двух сторон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Денежный потенциал текущих категорий и программа проверки спроса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Версия 0.2 · 11 сентября 2026 года · Узбекистан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При заданных ниже допущениях годовой оборот свадебных услуг и товаров в границах текущего каталога получается от 3,51 до 33,58 трлн сум, базовый сценарий — 11,68 трлн. Это расчёт чувствительности к числу платных событий, бюджету и составу покупок. Его нельзя выдавать за измеренный размер рынка или прогноз продаж Marosim. Более полезный стартовый ориентир — выбранный сегмент Ташкента: около 450 млрд сум в год в базовом сценарии, до учёта доли, которую сможет получить Marosim.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 xml:space="preserve">Исследуем две стороны: </w:t>
      </w:r>
      <w:r>
        <w:rPr>
          <w:rFonts w:ascii="Arial" w:hAnsi="Arial" w:eastAsia="Arial"/>
          <w:b/>
          <w:i w:val="0"/>
          <w:color w:val="000000"/>
          <w:sz w:val="22"/>
        </w:rPr>
        <w:t>те, кто ищет SKU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, и </w:t>
      </w:r>
      <w:r>
        <w:rPr>
          <w:rFonts w:ascii="Arial" w:hAnsi="Arial" w:eastAsia="Arial"/>
          <w:b/>
          <w:i w:val="0"/>
          <w:color w:val="000000"/>
          <w:sz w:val="22"/>
        </w:rPr>
        <w:t>те, кто предоставляет SKU</w:t>
      </w:r>
      <w:r>
        <w:rPr>
          <w:rFonts w:ascii="Arial" w:hAnsi="Arial" w:eastAsia="Arial"/>
          <w:b w:val="0"/>
          <w:i w:val="0"/>
          <w:color w:val="000000"/>
          <w:sz w:val="22"/>
        </w:rPr>
        <w:t>. Для человека SKU означает конкретное предложение услуги, товара или аренды. Автор может разместить много SKU; клиент может заказать несколько SKU для одного события. Расход клиента и выручка автора по одной сделке учитываются один раз.</w:t>
      </w:r>
    </w:p>
    <w:p>
      <w:pPr>
        <w:pStyle w:val="Heading1"/>
      </w:pPr>
      <w:r>
        <w:t>Важные блоки исследования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Под блоком здесь понимается часть рыночной гипотезы, которую нужно подтвердить отдельными данными.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944"/>
        <w:gridCol w:w="3672"/>
        <w:gridCol w:w="374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3333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Блок</w:t>
            </w:r>
          </w:p>
        </w:tc>
        <w:tc>
          <w:tcPr>
            <w:tcW w:type="dxa" w:w="36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3333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Что уже можно сказать</w:t>
            </w:r>
          </w:p>
        </w:tc>
        <w:tc>
          <w:tcPr>
            <w:tcW w:type="dxa" w:w="37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3333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Что нужно проверить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Объём и деньги</w:t>
            </w:r>
          </w:p>
        </w:tc>
        <w:tc>
          <w:tcPr>
            <w:tcW w:type="dxa" w:w="36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Есть статистика браков и модель покупок по 19 категориям</w:t>
            </w:r>
          </w:p>
        </w:tc>
        <w:tc>
          <w:tcPr>
            <w:tcW w:type="dxa" w:w="37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Доля платных событий, реальные чеки и комплектация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Ищущие и их задача</w:t>
            </w:r>
          </w:p>
        </w:tc>
        <w:tc>
          <w:tcPr>
            <w:tcW w:type="dxa" w:w="36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Важны поиск, сравнение, согласование с семьёй и контакт</w:t>
            </w:r>
          </w:p>
        </w:tc>
        <w:tc>
          <w:tcPr>
            <w:tcW w:type="dxa" w:w="37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Где теряют время и что считают достаточным основанием для выбора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Авторы и их задача</w:t>
            </w:r>
          </w:p>
        </w:tc>
        <w:tc>
          <w:tcPr>
            <w:tcW w:type="dxa" w:w="36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Нужны подходящие обращения, понятный прайс и согласование</w:t>
            </w:r>
          </w:p>
        </w:tc>
        <w:tc>
          <w:tcPr>
            <w:tcW w:type="dxa" w:w="37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Как отличают целевой запрос, сколько стоит ответ и обновление карточки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Предложение и доступность</w:t>
            </w:r>
          </w:p>
        </w:tc>
        <w:tc>
          <w:tcPr>
            <w:tcW w:type="dxa" w:w="36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В проекте 100 seed-карточек; это инвентарь интерфейса</w:t>
            </w:r>
          </w:p>
        </w:tc>
        <w:tc>
          <w:tcPr>
            <w:tcW w:type="dxa" w:w="37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Реальные авторы, свободные даты, актуальные цены и готовность отвечать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Альтернативы и привлечение</w:t>
            </w:r>
          </w:p>
        </w:tc>
        <w:tc>
          <w:tcPr>
            <w:tcW w:type="dxa" w:w="36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Есть свадебные каталоги, объявления и прямые каналы</w:t>
            </w:r>
          </w:p>
        </w:tc>
        <w:tc>
          <w:tcPr>
            <w:tcW w:type="dxa" w:w="37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Причина сменить привычный способ и стоимость привлечения обеих сторон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Совпадение спроса и предложения</w:t>
            </w:r>
          </w:p>
        </w:tc>
        <w:tc>
          <w:tcPr>
            <w:tcW w:type="dxa" w:w="36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Нужно совпасть по городу, дате, категории и бюджету</w:t>
            </w:r>
          </w:p>
        </w:tc>
        <w:tc>
          <w:tcPr>
            <w:tcW w:type="dxa" w:w="37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Доля запросов с подходящим ответом и время до него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Экономика и доверие</w:t>
            </w:r>
          </w:p>
        </w:tc>
        <w:tc>
          <w:tcPr>
            <w:tcW w:type="dxa" w:w="36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Можно считать сценарии комиссии и подписки</w:t>
            </w:r>
          </w:p>
        </w:tc>
        <w:tc>
          <w:tcPr>
            <w:tcW w:type="dxa" w:w="37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Оплаченные сделки, удержание, собираемость комиссии и смысл отметок доверия</w:t>
            </w:r>
          </w:p>
        </w:tc>
      </w:tr>
    </w:tbl>
    <w:p>
      <w:pPr>
        <w:spacing w:after="40" w:before="0" w:line="40" w:lineRule="exact"/>
      </w:pPr>
    </w:p>
    <w:p>
      <w:r>
        <w:rPr>
          <w:rFonts w:ascii="Arial" w:hAnsi="Arial" w:eastAsia="Arial"/>
          <w:b w:val="0"/>
          <w:i w:val="0"/>
          <w:color w:val="000000"/>
          <w:sz w:val="22"/>
        </w:rPr>
        <w:t>Главное следующее решение — в каком городе и наборе категорий мы можем регулярно доводить реальную потребность до подходящего ответа. Национальный денежный объём сам по себе этого не доказывает.</w:t>
      </w:r>
    </w:p>
    <w:p>
      <w:pPr>
        <w:pStyle w:val="Heading1"/>
        <w:pageBreakBefore/>
      </w:pPr>
      <w:r>
        <w:t>Факты и наблюдаемые ценовые ориентиры</w:t>
      </w:r>
    </w:p>
    <w:p>
      <w:r>
        <w:rPr>
          <w:rFonts w:ascii="Arial" w:hAnsi="Arial" w:eastAsia="Arial"/>
          <w:b/>
          <w:i w:val="0"/>
          <w:color w:val="000000"/>
          <w:sz w:val="22"/>
        </w:rPr>
        <w:t>Поток событий.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В обновлённой таблице SIAT за 2025 год — 267 126 браков по стране и 23 125 в городе Ташкенте. За январь–июнь 2026 года — 92 314 и 9 459 соответственно. Квартальные колонки накопительные: их нельзя складывать или механически удваивать полугодие. Регистрация брака не определяет место банкета и число оплаченных торжеств. [S1]</w:t>
      </w:r>
    </w:p>
    <w:p>
      <w:r>
        <w:rPr>
          <w:rFonts w:ascii="Arial" w:hAnsi="Arial" w:eastAsia="Arial"/>
          <w:b/>
          <w:i w:val="0"/>
          <w:color w:val="000000"/>
          <w:sz w:val="22"/>
        </w:rPr>
        <w:t>Доступ к интернету.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Digital 2026 даёт 33,1 млн интернет-пользователей и проникновение 89% по состоянию на конец 2025 года. Это основание проверять мобильный веб-сценарий; число пользователей конкретного сервиса и готовность покупать оно не показывает. [S10]</w:t>
      </w:r>
    </w:p>
    <w:p>
      <w:r>
        <w:rPr>
          <w:rFonts w:ascii="Arial" w:hAnsi="Arial" w:eastAsia="Arial"/>
          <w:b/>
          <w:i w:val="0"/>
          <w:color w:val="000000"/>
          <w:sz w:val="22"/>
        </w:rPr>
        <w:t>Цены предложения.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Ниже опубликованные цены и редакционные примеры. Завершённые сделки с таким чеком не проверялись.</w:t>
      </w:r>
    </w:p>
    <w:p>
      <w:pPr>
        <w:pStyle w:val="ListBullet"/>
        <w:spacing w:after="100"/>
      </w:pPr>
      <w:r>
        <w:rPr>
          <w:rFonts w:ascii="Arial" w:hAnsi="Arial" w:eastAsia="Arial"/>
          <w:b w:val="0"/>
          <w:i w:val="0"/>
          <w:color w:val="000000"/>
          <w:sz w:val="22"/>
        </w:rPr>
        <w:t>Seoul Hall: меню 390–450 тыс. сум на гостя; аренда для других форматов от 25 млн. Состав конкретного пакета уточняется отдельно. [S2]</w:t>
      </w:r>
    </w:p>
    <w:p>
      <w:pPr>
        <w:pStyle w:val="ListBullet"/>
        <w:spacing w:after="100"/>
      </w:pPr>
      <w:r>
        <w:rPr>
          <w:rFonts w:ascii="Arial" w:hAnsi="Arial" w:eastAsia="Arial"/>
          <w:b w:val="0"/>
          <w:i w:val="0"/>
          <w:color w:val="000000"/>
          <w:sz w:val="22"/>
        </w:rPr>
        <w:t>Рекламный материал Afisha от 24 августа 2026 года использует в примерах 500 тыс. на гостя, 14 млн за фото/видео, 10–12 млн за ведущего с DJ и техникой, 8–17 млн за декор и 180–200 тыс. за кг торта. Это редакционные сценарии Ташкента, не средние цены страны. [S3]</w:t>
      </w:r>
    </w:p>
    <w:p>
      <w:pPr>
        <w:pStyle w:val="ListBullet"/>
        <w:spacing w:after="100"/>
      </w:pPr>
      <w:r>
        <w:rPr>
          <w:rFonts w:ascii="Arial" w:hAnsi="Arial" w:eastAsia="Arial"/>
          <w:b w:val="0"/>
          <w:i w:val="0"/>
          <w:color w:val="000000"/>
          <w:sz w:val="22"/>
        </w:rPr>
        <w:t>В карточке EventHall Decor на SERCAT указаны оформление 2 млн, фотозона 900 тыс. и букет 350 тыс. Действующий бизнес и исполнение по этим ценам не проверены. [S4]</w:t>
      </w:r>
    </w:p>
    <w:p>
      <w:pPr>
        <w:pStyle w:val="ListBullet"/>
        <w:spacing w:after="100"/>
      </w:pPr>
      <w:r>
        <w:rPr>
          <w:rFonts w:ascii="Arial" w:hAnsi="Arial" w:eastAsia="Arial"/>
          <w:b w:val="0"/>
          <w:i w:val="0"/>
          <w:color w:val="000000"/>
          <w:sz w:val="22"/>
        </w:rPr>
        <w:t>getspace публикует координацию от 3 млн и полный цикл от 15 млн. Цена полного цикла не раскрывает распределение денег между организатором и подрядчиками. [S5]</w:t>
      </w:r>
    </w:p>
    <w:p>
      <w:pPr>
        <w:pStyle w:val="ListBullet"/>
        <w:spacing w:after="100"/>
      </w:pPr>
      <w:r>
        <w:rPr>
          <w:rFonts w:ascii="Arial" w:hAnsi="Arial" w:eastAsia="Arial"/>
          <w:b w:val="0"/>
          <w:i w:val="0"/>
          <w:color w:val="000000"/>
          <w:sz w:val="22"/>
        </w:rPr>
        <w:t>На Prom.uz предложение комплекта для видеоконференции стоит 1 млн сум. Это ориентир отдельного комплекта, не всего технического сопровождения свадьбы. [S6]</w:t>
      </w:r>
    </w:p>
    <w:p>
      <w:pPr>
        <w:pStyle w:val="ListBullet"/>
        <w:spacing w:after="100"/>
      </w:pPr>
      <w:r>
        <w:rPr>
          <w:rFonts w:ascii="Arial" w:hAnsi="Arial" w:eastAsia="Arial"/>
          <w:b w:val="0"/>
          <w:i w:val="0"/>
          <w:color w:val="000000"/>
          <w:sz w:val="22"/>
        </w:rPr>
        <w:t>ENT.TER публикует лазертаг 120 тыс. сум на человека за 60 минут. Профессиональный тренинг с фасилитацией имеет другой состав. [S8]</w:t>
      </w:r>
    </w:p>
    <w:p>
      <w:pPr>
        <w:pStyle w:val="ListBullet"/>
        <w:spacing w:after="100"/>
      </w:pPr>
      <w:r>
        <w:rPr>
          <w:rFonts w:ascii="Arial" w:hAnsi="Arial" w:eastAsia="Arial"/>
          <w:b w:val="0"/>
          <w:i w:val="0"/>
          <w:color w:val="000000"/>
          <w:sz w:val="22"/>
        </w:rPr>
        <w:t>У Joinme цифровое приглашение стоит 99 тыс. сум за событие. Поэтому полиграфию нельзя всегда считать как цену за каждого гостя. [S9]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 xml:space="preserve">В собственной модели чеки, доли покупки и региональные поправки ниже имеют статус </w:t>
      </w:r>
      <w:r>
        <w:rPr>
          <w:rFonts w:ascii="Arial" w:hAnsi="Arial" w:eastAsia="Arial"/>
          <w:b/>
          <w:i w:val="0"/>
          <w:color w:val="000000"/>
          <w:sz w:val="22"/>
        </w:rPr>
        <w:t>допущений A</w:t>
      </w:r>
      <w:r>
        <w:rPr>
          <w:rFonts w:ascii="Arial" w:hAnsi="Arial" w:eastAsia="Arial"/>
          <w:b w:val="0"/>
          <w:i w:val="0"/>
          <w:color w:val="000000"/>
          <w:sz w:val="22"/>
        </w:rPr>
        <w:t>, даже когда для них есть ценовой ориентир S2–S9. Seed-цены приложения не используются как независимое доказательство рынка.</w:t>
      </w:r>
    </w:p>
    <w:p>
      <w:pPr>
        <w:pStyle w:val="Heading1"/>
      </w:pPr>
      <w:r>
        <w:t>Как считаем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Годовой оборот категории = число регистраций × доля пар с учитываемым платным событием × доля покупки категории × итоговый чек этой категории.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Для свадеб считаем один основной день и связанные с ним покупки в текущем каталоге. Пакет предложения руки и сердца включён отдельной редкой покупкой той же пары; его состав повторно в других строках не учитывается. Подготовительные торжества, повторные дни, юбилеи и дни рождения остаются за пределами численной оценки. Одежда, кольца, жильё, приданое и путешествия также не входят.</w:t>
      </w:r>
    </w:p>
    <w:p>
      <w:pPr>
        <w:pStyle w:val="Heading1"/>
        <w:pageBreakBefore/>
      </w:pPr>
      <w:r>
        <w:t>Сценарии свадебного оборота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Цены и состав корзины выражены в ценовых ориентирах 2026 года, поток событий взят за полный 2025 год. Это годовой сценарий при заданных ценах, а не фактический денежный оборот 2025 года.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440"/>
        <w:gridCol w:w="1656"/>
        <w:gridCol w:w="2160"/>
        <w:gridCol w:w="2016"/>
        <w:gridCol w:w="2088"/>
      </w:tblGrid>
      <w:tr>
        <w:trPr>
          <w:cantSplit/>
          <w:tblHeader w:val="true"/>
        </w:trPr>
        <w:tc>
          <w:tcPr>
            <w:tcW w:type="dxa" w:w="14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3333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Сценарий</w:t>
            </w:r>
          </w:p>
        </w:tc>
        <w:tc>
          <w:tcPr>
            <w:tcW w:type="dxa" w:w="16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3333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Платное событие</w:t>
            </w:r>
          </w:p>
        </w:tc>
        <w:tc>
          <w:tcPr>
            <w:tcW w:type="dxa" w:w="21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3333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Гости и банкет</w:t>
            </w:r>
          </w:p>
        </w:tc>
        <w:tc>
          <w:tcPr>
            <w:tcW w:type="dxa" w:w="20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3333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Средняя модельная корзина млн сум</w:t>
            </w:r>
          </w:p>
        </w:tc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3333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Годовой оборот трлн сум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Нижний</w:t>
            </w:r>
          </w:p>
        </w:tc>
        <w:tc>
          <w:tcPr>
            <w:tcW w:type="dxa" w:w="16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60%</w:t>
            </w:r>
          </w:p>
        </w:tc>
        <w:tc>
          <w:tcPr>
            <w:tcW w:type="dxa" w:w="21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80 × 200 тыс.</w:t>
            </w:r>
          </w:p>
        </w:tc>
        <w:tc>
          <w:tcPr>
            <w:tcW w:type="dxa" w:w="20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21,93</w:t>
            </w:r>
          </w:p>
        </w:tc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3,51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Базовый</w:t>
            </w:r>
          </w:p>
        </w:tc>
        <w:tc>
          <w:tcPr>
            <w:tcW w:type="dxa" w:w="16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80%</w:t>
            </w:r>
          </w:p>
        </w:tc>
        <w:tc>
          <w:tcPr>
            <w:tcW w:type="dxa" w:w="21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120 × 300 тыс.</w:t>
            </w:r>
          </w:p>
        </w:tc>
        <w:tc>
          <w:tcPr>
            <w:tcW w:type="dxa" w:w="20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54,67</w:t>
            </w:r>
          </w:p>
        </w:tc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11,68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Верхний</w:t>
            </w:r>
          </w:p>
        </w:tc>
        <w:tc>
          <w:tcPr>
            <w:tcW w:type="dxa" w:w="16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95%</w:t>
            </w:r>
          </w:p>
        </w:tc>
        <w:tc>
          <w:tcPr>
            <w:tcW w:type="dxa" w:w="21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180 × 450 тыс.</w:t>
            </w:r>
          </w:p>
        </w:tc>
        <w:tc>
          <w:tcPr>
            <w:tcW w:type="dxa" w:w="20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132,33</w:t>
            </w:r>
          </w:p>
        </w:tc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33,58</w:t>
            </w:r>
          </w:p>
        </w:tc>
      </w:tr>
    </w:tbl>
    <w:p>
      <w:pPr>
        <w:spacing w:after="40" w:before="0" w:line="40" w:lineRule="exact"/>
      </w:pPr>
    </w:p>
    <w:p>
      <w:r>
        <w:rPr>
          <w:rFonts w:ascii="Arial" w:hAnsi="Arial" w:eastAsia="Arial"/>
          <w:b w:val="0"/>
          <w:i w:val="0"/>
          <w:color w:val="000000"/>
          <w:sz w:val="22"/>
        </w:rPr>
        <w:t>Доли 60/80/95% и число гостей 80/120/180 — допущения. Тариф банкета 200/300/450 тыс. на гостя — сценарная средняя по стране. В частности, 200–300 тыс. не подтверждены выборкой по регионам; это пониженные предположения относительно наблюдаемого ташкентского предложения. Верхняя граница не является максимальным возможным рынком, а нижняя — гарантированным минимумом.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В базовом сценарии 267 126 × 80% = 213 700,8 модельного события в год. Дробная часть появляется из вероятностного расчёта. Средняя корзина 54,67 млн включает вероятности покупки дополнительных услуг; это не типичная смета каждой семьи.</w:t>
      </w:r>
    </w:p>
    <w:p>
      <w:pPr>
        <w:pStyle w:val="Heading2"/>
      </w:pPr>
      <w:r>
        <w:t>Что больше всего меняет результат</w:t>
      </w:r>
    </w:p>
    <w:p>
      <w:pPr>
        <w:pStyle w:val="ListBullet"/>
        <w:spacing w:after="100"/>
      </w:pPr>
      <w:r>
        <w:rPr>
          <w:rFonts w:ascii="Arial" w:hAnsi="Arial" w:eastAsia="Arial"/>
          <w:b w:val="0"/>
          <w:i w:val="0"/>
          <w:color w:val="000000"/>
          <w:sz w:val="22"/>
        </w:rPr>
        <w:t>Банкетный пакет даёт 7,69 трлн, около 66% базового оборота. Ошибка в гостях и составе этого пакета определяет большую часть ошибки модели.</w:t>
      </w:r>
    </w:p>
    <w:p>
      <w:pPr>
        <w:pStyle w:val="ListBullet"/>
        <w:spacing w:after="100"/>
      </w:pPr>
      <w:r>
        <w:rPr>
          <w:rFonts w:ascii="Arial" w:hAnsi="Arial" w:eastAsia="Arial"/>
          <w:b w:val="0"/>
          <w:i w:val="0"/>
          <w:color w:val="000000"/>
          <w:sz w:val="22"/>
        </w:rPr>
        <w:t>При остальных базовых параметрах ±20 гостей меняют оценку примерно на ±1,39 трлн сум. Здесь одновременно меняются банкет, подарки, торт и посуда.</w:t>
      </w:r>
    </w:p>
    <w:p>
      <w:pPr>
        <w:pStyle w:val="ListBullet"/>
        <w:spacing w:after="100"/>
      </w:pPr>
      <w:r>
        <w:rPr>
          <w:rFonts w:ascii="Arial" w:hAnsi="Arial" w:eastAsia="Arial"/>
          <w:b w:val="0"/>
          <w:i w:val="0"/>
          <w:color w:val="000000"/>
          <w:sz w:val="22"/>
        </w:rPr>
        <w:t>±50 тыс. сум к цене банкета на гостя меняют оценку примерно на ±1,28 трлн.</w:t>
      </w:r>
    </w:p>
    <w:p>
      <w:pPr>
        <w:pStyle w:val="ListBullet"/>
        <w:spacing w:after="100"/>
      </w:pPr>
      <w:r>
        <w:rPr>
          <w:rFonts w:ascii="Arial" w:hAnsi="Arial" w:eastAsia="Arial"/>
          <w:b w:val="0"/>
          <w:i w:val="0"/>
          <w:color w:val="000000"/>
          <w:sz w:val="22"/>
        </w:rPr>
        <w:t>±10 процентных пунктов к доле платных событий меняют оценку примерно на ±1,46 трлн.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Следовательно, первые интервью о деньгах должны уточнить фактический список гостей, полную цену банкета, включённые услуги и место проведения. Собирать «общий бюджет свадьбы» без состава недостаточно.</w:t>
      </w:r>
    </w:p>
    <w:p>
      <w:pPr>
        <w:pStyle w:val="Heading2"/>
      </w:pPr>
      <w:r>
        <w:t>Правило учёта пакетов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Если ведущий, DJ и звук продаются за 10 млн, в общий оборот входит 10 млн. Для разреза по категориям сумму можно распределить, например, на гонорары и технику; прибавлять полный пакет к тем же гонорарам нельзя. Аналогично учитываем зал с едой, оформление с цветами, фото с видео и посредника с подрядчиками. Доли покупки в таблицах означают отдельный учитываемый расход после такой очистки.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Полные входные параметры трёх сценариев сохранены в файле marosim-market-model-v0.2.json. Скрипт calculate-marosim-market.py пересчитывает результаты и сверяет охват категорий с каталогом.</w:t>
      </w:r>
    </w:p>
    <w:p>
      <w:pPr>
        <w:pStyle w:val="Heading1"/>
        <w:pageBreakBefore/>
      </w:pPr>
      <w:r>
        <w:t>Вклад текущих категорий услуг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Базовый сценарий по стране. В колонке чека — млн сум за одну покупку, после знака умножения — доля учитываемых платных событий с такой покупкой. Все эти параметры — допущения A. Оборот — млрд сум в год. Код источника показывает ориентир, а не подтверждение среднего чека или доли.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131"/>
        <w:gridCol w:w="1526"/>
        <w:gridCol w:w="1066"/>
        <w:gridCol w:w="4637"/>
      </w:tblGrid>
      <w:tr>
        <w:trPr>
          <w:cantSplit/>
          <w:tblHeader w:val="true"/>
        </w:trPr>
        <w:tc>
          <w:tcPr>
            <w:tcW w:type="dxa" w:w="213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3333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Категория и число SKU</w:t>
            </w:r>
          </w:p>
        </w:tc>
        <w:tc>
          <w:tcPr>
            <w:tcW w:type="dxa" w:w="15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3333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Чек × доля покупки</w:t>
            </w:r>
          </w:p>
        </w:tc>
        <w:tc>
          <w:tcPr>
            <w:tcW w:type="dxa" w:w="106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3333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Оборот млрд сум</w:t>
            </w:r>
          </w:p>
        </w:tc>
        <w:tc>
          <w:tcPr>
            <w:tcW w:type="dxa" w:w="46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3333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Что учитывается и ориентир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Площадки (6)</w:t>
            </w:r>
          </w:p>
        </w:tc>
        <w:tc>
          <w:tcPr>
            <w:tcW w:type="dxa" w:w="15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36,000 × 100%</w:t>
            </w:r>
          </w:p>
        </w:tc>
        <w:tc>
          <w:tcPr>
            <w:tcW w:type="dxa" w:w="106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7 693,2</w:t>
            </w:r>
          </w:p>
        </w:tc>
        <w:tc>
          <w:tcPr>
            <w:tcW w:type="dxa" w:w="46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Зал и основной банкет единым пакетом; доля 100% задана моделью. S2,S3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Кейтеринг (7)</w:t>
            </w:r>
          </w:p>
        </w:tc>
        <w:tc>
          <w:tcPr>
            <w:tcW w:type="dxa" w:w="15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3,000 × 10%</w:t>
            </w:r>
          </w:p>
        </w:tc>
        <w:tc>
          <w:tcPr>
            <w:tcW w:type="dxa" w:w="106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64,1</w:t>
            </w:r>
          </w:p>
        </w:tc>
        <w:tc>
          <w:tcPr>
            <w:tcW w:type="dxa" w:w="46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Только отдельный дополнительный фуршет; основной банкет учтён выше. A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Фото и видео (9)</w:t>
            </w:r>
          </w:p>
        </w:tc>
        <w:tc>
          <w:tcPr>
            <w:tcW w:type="dxa" w:w="15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7,000 × 85%</w:t>
            </w:r>
          </w:p>
        </w:tc>
        <w:tc>
          <w:tcPr>
            <w:tcW w:type="dxa" w:w="106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1 271,5</w:t>
            </w:r>
          </w:p>
        </w:tc>
        <w:tc>
          <w:tcPr>
            <w:tcW w:type="dxa" w:w="46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Один пакет фото и видео; без повторного счёта дрона и монтажа. S3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Оформление и флористика (7)</w:t>
            </w:r>
          </w:p>
        </w:tc>
        <w:tc>
          <w:tcPr>
            <w:tcW w:type="dxa" w:w="15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5,000 × 60%</w:t>
            </w:r>
          </w:p>
        </w:tc>
        <w:tc>
          <w:tcPr>
            <w:tcW w:type="dxa" w:w="106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641,1</w:t>
            </w:r>
          </w:p>
        </w:tc>
        <w:tc>
          <w:tcPr>
            <w:tcW w:type="dxa" w:w="46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Доплата сверх базового декора площадки; без букета невесты. S3,S4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Ведущие и развлечения (5)</w:t>
            </w:r>
          </w:p>
        </w:tc>
        <w:tc>
          <w:tcPr>
            <w:tcW w:type="dxa" w:w="15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4,000 × 75%</w:t>
            </w:r>
          </w:p>
        </w:tc>
        <w:tc>
          <w:tcPr>
            <w:tcW w:type="dxa" w:w="106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641,1</w:t>
            </w:r>
          </w:p>
        </w:tc>
        <w:tc>
          <w:tcPr>
            <w:tcW w:type="dxa" w:w="46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Только работа ведущего; музыку и звук из пакета распределить по строкам. S3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Музыка и DJ (4)</w:t>
            </w:r>
          </w:p>
        </w:tc>
        <w:tc>
          <w:tcPr>
            <w:tcW w:type="dxa" w:w="15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2,500 × 40%</w:t>
            </w:r>
          </w:p>
        </w:tc>
        <w:tc>
          <w:tcPr>
            <w:tcW w:type="dxa" w:w="106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213,7</w:t>
            </w:r>
          </w:p>
        </w:tc>
        <w:tc>
          <w:tcPr>
            <w:tcW w:type="dxa" w:w="46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Только дополнительная работа музыканта или DJ. S3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Транспорт (5)</w:t>
            </w:r>
          </w:p>
        </w:tc>
        <w:tc>
          <w:tcPr>
            <w:tcW w:type="dxa" w:w="15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2,000 × 40%</w:t>
            </w:r>
          </w:p>
        </w:tc>
        <w:tc>
          <w:tcPr>
            <w:tcW w:type="dxa" w:w="106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171,0</w:t>
            </w:r>
          </w:p>
        </w:tc>
        <w:tc>
          <w:tcPr>
            <w:tcW w:type="dxa" w:w="46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Платный транспорт для события одним итоговым счётом. A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Организация и персонал (3)</w:t>
            </w:r>
          </w:p>
        </w:tc>
        <w:tc>
          <w:tcPr>
            <w:tcW w:type="dxa" w:w="15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3,000 × 12%</w:t>
            </w:r>
          </w:p>
        </w:tc>
        <w:tc>
          <w:tcPr>
            <w:tcW w:type="dxa" w:w="106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76,9</w:t>
            </w:r>
          </w:p>
        </w:tc>
        <w:tc>
          <w:tcPr>
            <w:tcW w:type="dxa" w:w="46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Чистый гонорар координатора; без стоимости подрядчиков. S5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Предложение руки и сердца (1)</w:t>
            </w:r>
          </w:p>
        </w:tc>
        <w:tc>
          <w:tcPr>
            <w:tcW w:type="dxa" w:w="15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2,000 × 5%</w:t>
            </w:r>
          </w:p>
        </w:tc>
        <w:tc>
          <w:tcPr>
            <w:tcW w:type="dxa" w:w="106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21,4</w:t>
            </w:r>
          </w:p>
        </w:tc>
        <w:tc>
          <w:tcPr>
            <w:tcW w:type="dxa" w:w="46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Один пакет в рамках пути пары; его декор и фото повторно не считаются. A</w:t>
            </w:r>
          </w:p>
        </w:tc>
      </w:tr>
    </w:tbl>
    <w:p>
      <w:pPr>
        <w:spacing w:after="40" w:before="0" w:line="40" w:lineRule="exact"/>
      </w:pPr>
    </w:p>
    <w:p>
      <w:r>
        <w:rPr>
          <w:rFonts w:ascii="Arial" w:hAnsi="Arial" w:eastAsia="Arial"/>
          <w:b w:val="0"/>
          <w:i w:val="0"/>
          <w:color w:val="000000"/>
          <w:sz w:val="22"/>
        </w:rPr>
        <w:t>У «Площадок» в модели лежит объединённый пакет основного зала и банкета. У «Кейтеринга» — только дополнительный фуршет сверх него. Такая денежная группировка нужна для исключения повторов и не означает изменения категорий сайта.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Стоимость фотосъёмки, декора и ведущего в базовом сценарии ниже части ташкентских примеров: модель допускает более простой состав и более дешёвые регионы. Именно это предположение нужно проверить реальными сметами.</w:t>
      </w:r>
    </w:p>
    <w:p>
      <w:pPr>
        <w:pStyle w:val="Heading1"/>
        <w:pageBreakBefore/>
      </w:pPr>
      <w:r>
        <w:t>Вклад Маркета и техники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Единицы и метод те же, что в предыдущей таблице. Здесь учитываются дополнительные покупки и аренда сверх уже оплаченных пакетов.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131"/>
        <w:gridCol w:w="1526"/>
        <w:gridCol w:w="1066"/>
        <w:gridCol w:w="4637"/>
      </w:tblGrid>
      <w:tr>
        <w:trPr>
          <w:cantSplit/>
          <w:tblHeader w:val="true"/>
        </w:trPr>
        <w:tc>
          <w:tcPr>
            <w:tcW w:type="dxa" w:w="213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3333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Категория и число SKU</w:t>
            </w:r>
          </w:p>
        </w:tc>
        <w:tc>
          <w:tcPr>
            <w:tcW w:type="dxa" w:w="15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3333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Чек × доля покупки</w:t>
            </w:r>
          </w:p>
        </w:tc>
        <w:tc>
          <w:tcPr>
            <w:tcW w:type="dxa" w:w="106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3333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Оборот млрд сум</w:t>
            </w:r>
          </w:p>
        </w:tc>
        <w:tc>
          <w:tcPr>
            <w:tcW w:type="dxa" w:w="46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3333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Что учитывается и ориентир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Цветы и букеты (7)</w:t>
            </w:r>
          </w:p>
        </w:tc>
        <w:tc>
          <w:tcPr>
            <w:tcW w:type="dxa" w:w="15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0,450 × 75%</w:t>
            </w:r>
          </w:p>
        </w:tc>
        <w:tc>
          <w:tcPr>
            <w:tcW w:type="dxa" w:w="106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72,1</w:t>
            </w:r>
          </w:p>
        </w:tc>
        <w:tc>
          <w:tcPr>
            <w:tcW w:type="dxa" w:w="46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Букет невесты; флористика зала учтена в оформлении. S4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Декор и праздничные мелочи (2)</w:t>
            </w:r>
          </w:p>
        </w:tc>
        <w:tc>
          <w:tcPr>
            <w:tcW w:type="dxa" w:w="15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0,300 × 50%</w:t>
            </w:r>
          </w:p>
        </w:tc>
        <w:tc>
          <w:tcPr>
            <w:tcW w:type="dxa" w:w="106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32,1</w:t>
            </w:r>
          </w:p>
        </w:tc>
        <w:tc>
          <w:tcPr>
            <w:tcW w:type="dxa" w:w="46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Отдельные аксессуары сверх пакета декора. A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Подарки и полиграфия (9)</w:t>
            </w:r>
          </w:p>
        </w:tc>
        <w:tc>
          <w:tcPr>
            <w:tcW w:type="dxa" w:w="15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1,440 × 65%</w:t>
            </w:r>
          </w:p>
        </w:tc>
        <w:tc>
          <w:tcPr>
            <w:tcW w:type="dxa" w:w="106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200,0</w:t>
            </w:r>
          </w:p>
        </w:tc>
        <w:tc>
          <w:tcPr>
            <w:tcW w:type="dxa" w:w="46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80/120/180 гостей × 6/12/20 тыс. сум; общий чек сувениров и приглашений. S9,A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Торты и сладкий стол (4)</w:t>
            </w:r>
          </w:p>
        </w:tc>
        <w:tc>
          <w:tcPr>
            <w:tcW w:type="dxa" w:w="15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2,736 × 65%</w:t>
            </w:r>
          </w:p>
        </w:tc>
        <w:tc>
          <w:tcPr>
            <w:tcW w:type="dxa" w:w="106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380,0</w:t>
            </w:r>
          </w:p>
        </w:tc>
        <w:tc>
          <w:tcPr>
            <w:tcW w:type="dxa" w:w="46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80/120/180 гостей × 0,08/0,12/0,15 кг × 180/190/200 тыс. сум. S3,A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Посуда и сервировка (1)</w:t>
            </w:r>
          </w:p>
        </w:tc>
        <w:tc>
          <w:tcPr>
            <w:tcW w:type="dxa" w:w="15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2,400 × 8%</w:t>
            </w:r>
          </w:p>
        </w:tc>
        <w:tc>
          <w:tcPr>
            <w:tcW w:type="dxa" w:w="106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41,0</w:t>
            </w:r>
          </w:p>
        </w:tc>
        <w:tc>
          <w:tcPr>
            <w:tcW w:type="dxa" w:w="46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Отдельная аренда; посуда в банкетном пакете исключается. A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Звук и свет (11)</w:t>
            </w:r>
          </w:p>
        </w:tc>
        <w:tc>
          <w:tcPr>
            <w:tcW w:type="dxa" w:w="15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1,500 × 20%</w:t>
            </w:r>
          </w:p>
        </w:tc>
        <w:tc>
          <w:tcPr>
            <w:tcW w:type="dxa" w:w="106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64,1</w:t>
            </w:r>
          </w:p>
        </w:tc>
        <w:tc>
          <w:tcPr>
            <w:tcW w:type="dxa" w:w="46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Только техника сверх того, что входит в зал и программу. S6,A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Экраны и сцены (7)</w:t>
            </w:r>
          </w:p>
        </w:tc>
        <w:tc>
          <w:tcPr>
            <w:tcW w:type="dxa" w:w="15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2,000 × 8%</w:t>
            </w:r>
          </w:p>
        </w:tc>
        <w:tc>
          <w:tcPr>
            <w:tcW w:type="dxa" w:w="106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34,2</w:t>
            </w:r>
          </w:p>
        </w:tc>
        <w:tc>
          <w:tcPr>
            <w:tcW w:type="dxa" w:w="46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Дополнительная аренда комплекта; повтор техники исключён. S6,A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Мебель и шатры (3)</w:t>
            </w:r>
          </w:p>
        </w:tc>
        <w:tc>
          <w:tcPr>
            <w:tcW w:type="dxa" w:w="15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2,500 × 10%</w:t>
            </w:r>
          </w:p>
        </w:tc>
        <w:tc>
          <w:tcPr>
            <w:tcW w:type="dxa" w:w="106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53,4</w:t>
            </w:r>
          </w:p>
        </w:tc>
        <w:tc>
          <w:tcPr>
            <w:tcW w:type="dxa" w:w="46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Дополнительная аренда; мебель площадки исключается. A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Питание и спецэффекты (2)</w:t>
            </w:r>
          </w:p>
        </w:tc>
        <w:tc>
          <w:tcPr>
            <w:tcW w:type="dxa" w:w="15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1,000 × 6%</w:t>
            </w:r>
          </w:p>
        </w:tc>
        <w:tc>
          <w:tcPr>
            <w:tcW w:type="dxa" w:w="106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12,8</w:t>
            </w:r>
          </w:p>
        </w:tc>
        <w:tc>
          <w:tcPr>
            <w:tcW w:type="dxa" w:w="46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Генератор питания или спецэффекты; это техника, не еда. A</w:t>
            </w:r>
          </w:p>
        </w:tc>
      </w:tr>
    </w:tbl>
    <w:p>
      <w:pPr>
        <w:spacing w:after="40" w:before="0" w:line="40" w:lineRule="exact"/>
      </w:pPr>
    </w:p>
    <w:p>
      <w:r>
        <w:rPr>
          <w:rFonts w:ascii="Arial" w:hAnsi="Arial" w:eastAsia="Arial"/>
          <w:b w:val="0"/>
          <w:i w:val="0"/>
          <w:color w:val="000000"/>
          <w:sz w:val="22"/>
        </w:rPr>
        <w:t>Сумма двух таблиц — 11 683,86 млрд, или 11,68 трлн сум в год. В них 93 SKU и 18 категорий. Оставшиеся 7 SKU категории «Тренинги и тимбилдинг» рассчитаны отдельно на следующей странице. Таким образом, рассмотрены все 100 SKU и 19 текущих категорий.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Для подарков и полиграфии 1,44 млн = 120 гостей × 12 тыс. сум; это общий условный чек сувениров и приглашений. Для торта 2,736 млн = 120 × 0,12 кг × 190 тыс. Для посуды 2,4 млн = 120 × 20 тыс. Эти нормы расхода не подтверждены исследованием. Цифровое приглашение, семейные приглашения на несколько человек или посуда в банкетном пакете уменьшат отдельный расход.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Число карточек не является весом категории на рынке. Один зал может обслуживать много мероприятий, несколько SKU одного автора могут продаваться одним пакетом, а две стороны сделки не создают два независимых рынка.</w:t>
      </w:r>
    </w:p>
    <w:p>
      <w:pPr>
        <w:pStyle w:val="Heading1"/>
        <w:pageBreakBefore/>
      </w:pPr>
      <w:r>
        <w:t>Тренинги и тимбилдинг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Для этой категории используем другую единицу спроса — организацию, покупающую командное мероприятие. На 1 января 2026 года в стране 474 899 действующих предприятий и организаций без фермерских и дехканских хозяйств, из них 108 678 в Ташкенте. В эту базу входят и организации, которые никогда не купят тимбилдинг. [S7]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Оборот = база организаций × доля покупателей × число мероприятий в год × чек одного мероприятия.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440"/>
        <w:gridCol w:w="1656"/>
        <w:gridCol w:w="2160"/>
        <w:gridCol w:w="2016"/>
        <w:gridCol w:w="2088"/>
      </w:tblGrid>
      <w:tr>
        <w:trPr>
          <w:cantSplit/>
          <w:tblHeader w:val="true"/>
        </w:trPr>
        <w:tc>
          <w:tcPr>
            <w:tcW w:type="dxa" w:w="14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3333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Сценарий</w:t>
            </w:r>
          </w:p>
        </w:tc>
        <w:tc>
          <w:tcPr>
            <w:tcW w:type="dxa" w:w="16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3333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Доля базы покупателей</w:t>
            </w:r>
          </w:p>
        </w:tc>
        <w:tc>
          <w:tcPr>
            <w:tcW w:type="dxa" w:w="21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3333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Событий на покупателя в год</w:t>
            </w:r>
          </w:p>
        </w:tc>
        <w:tc>
          <w:tcPr>
            <w:tcW w:type="dxa" w:w="20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3333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Чек млн сум</w:t>
            </w:r>
          </w:p>
        </w:tc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3333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Оборот млрд сум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Нижний</w:t>
            </w:r>
          </w:p>
        </w:tc>
        <w:tc>
          <w:tcPr>
            <w:tcW w:type="dxa" w:w="16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0,5%</w:t>
            </w:r>
          </w:p>
        </w:tc>
        <w:tc>
          <w:tcPr>
            <w:tcW w:type="dxa" w:w="21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0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11,87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Базовый</w:t>
            </w:r>
          </w:p>
        </w:tc>
        <w:tc>
          <w:tcPr>
            <w:tcW w:type="dxa" w:w="16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1%</w:t>
            </w:r>
          </w:p>
        </w:tc>
        <w:tc>
          <w:tcPr>
            <w:tcW w:type="dxa" w:w="21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0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12</w:t>
            </w:r>
          </w:p>
        </w:tc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56,99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Верхний</w:t>
            </w:r>
          </w:p>
        </w:tc>
        <w:tc>
          <w:tcPr>
            <w:tcW w:type="dxa" w:w="16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3%</w:t>
            </w:r>
          </w:p>
        </w:tc>
        <w:tc>
          <w:tcPr>
            <w:tcW w:type="dxa" w:w="21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0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25</w:t>
            </w:r>
          </w:p>
        </w:tc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712,35</w:t>
            </w:r>
          </w:p>
        </w:tc>
      </w:tr>
    </w:tbl>
    <w:p>
      <w:pPr>
        <w:spacing w:after="40" w:before="0" w:line="40" w:lineRule="exact"/>
      </w:pPr>
    </w:p>
    <w:p>
      <w:r>
        <w:rPr>
          <w:rFonts w:ascii="Arial" w:hAnsi="Arial" w:eastAsia="Arial"/>
          <w:b w:val="0"/>
          <w:i w:val="0"/>
          <w:color w:val="000000"/>
          <w:sz w:val="22"/>
        </w:rPr>
        <w:t>Все параметры, кроме базы организаций, — допущения. 120 тыс. за человека у ENT.TER даёт масштаб части развлекательного сценария; из этой цены не следует стоимость всего корпоративного мероприятия или профессионального тренинга. Условный пакет 12 млн нужно проверять по составу, числу участников и реальным бюджетам HR/офис-менеджеров.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Эти 56,99 млрд базового сценария показывают возможный порядок денег в одной B2B-категории. Полный корпоративный рынок площадок, еды, техники и организации не рассчитан. Его нельзя получить повторным прибавлением свадебных оборотов тех же категорий.</w:t>
      </w:r>
    </w:p>
    <w:p>
      <w:pPr>
        <w:pStyle w:val="Heading1"/>
      </w:pPr>
      <w:r>
        <w:t>Ташкент как начальный доступный сегмент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Для Ташкента применены те же сценарии гостей и доли платных событий, банкет 300/400/500 тыс. на человека и поправка к остальной корзине 1/1,15/1,3. Доля событий, подходящих выбранному географическому, ценовому и продуктовому сегменту Marosim, задана совместным коэффициентом 20/35/50%.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613"/>
        <w:gridCol w:w="2923"/>
        <w:gridCol w:w="1800"/>
        <w:gridCol w:w="3024"/>
      </w:tblGrid>
      <w:tr>
        <w:trPr>
          <w:cantSplit/>
          <w:tblHeader w:val="true"/>
        </w:trPr>
        <w:tc>
          <w:tcPr>
            <w:tcW w:type="dxa" w:w="161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3333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Сценарий</w:t>
            </w:r>
          </w:p>
        </w:tc>
        <w:tc>
          <w:tcPr>
            <w:tcW w:type="dxa" w:w="292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3333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Весь учитываемый свадебный оборот Ташкента млрд</w:t>
            </w:r>
          </w:p>
        </w:tc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3333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Подходящая доля</w:t>
            </w:r>
          </w:p>
        </w:tc>
        <w:tc>
          <w:tcPr>
            <w:tcW w:type="dxa" w:w="30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3333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Доступный сегмент млрд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Нижний</w:t>
            </w:r>
          </w:p>
        </w:tc>
        <w:tc>
          <w:tcPr>
            <w:tcW w:type="dxa" w:w="292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415,28</w:t>
            </w:r>
          </w:p>
        </w:tc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20%</w:t>
            </w:r>
          </w:p>
        </w:tc>
        <w:tc>
          <w:tcPr>
            <w:tcW w:type="dxa" w:w="30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83,06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Базовый</w:t>
            </w:r>
          </w:p>
        </w:tc>
        <w:tc>
          <w:tcPr>
            <w:tcW w:type="dxa" w:w="292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1 285,29</w:t>
            </w:r>
          </w:p>
        </w:tc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35%</w:t>
            </w:r>
          </w:p>
        </w:tc>
        <w:tc>
          <w:tcPr>
            <w:tcW w:type="dxa" w:w="30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5F5F5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449,85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Верхний</w:t>
            </w:r>
          </w:p>
        </w:tc>
        <w:tc>
          <w:tcPr>
            <w:tcW w:type="dxa" w:w="292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3 443,14</w:t>
            </w:r>
          </w:p>
        </w:tc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50%</w:t>
            </w:r>
          </w:p>
        </w:tc>
        <w:tc>
          <w:tcPr>
            <w:tcW w:type="dxa" w:w="30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1 721,57</w:t>
            </w:r>
          </w:p>
        </w:tc>
      </w:tr>
    </w:tbl>
    <w:p>
      <w:pPr>
        <w:spacing w:after="40" w:before="0" w:line="40" w:lineRule="exact"/>
      </w:pPr>
    </w:p>
    <w:p>
      <w:r>
        <w:rPr>
          <w:rFonts w:ascii="Arial" w:hAnsi="Arial" w:eastAsia="Arial"/>
          <w:b w:val="0"/>
          <w:i w:val="0"/>
          <w:color w:val="000000"/>
          <w:sz w:val="22"/>
        </w:rPr>
        <w:t>В базовом сценарии: 23 125 × 80% × 69,475 млн × 35% = 449,85 млрд сум в год. Эти 35% не являются долей Marosim или измеренной долей онлайн-покупок. Место регистрации брака также может отличаться от места заказа; поток из области в город здесь не моделируется.</w:t>
      </w:r>
    </w:p>
    <w:p>
      <w:pPr>
        <w:pStyle w:val="Heading1"/>
        <w:pageBreakBefore/>
      </w:pPr>
      <w:r>
        <w:t>Как деньги рынка могут превратиться в деньги Marosim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 xml:space="preserve">Условный годовой сценарий получения заказов снизу вверх: 100 новых заинтересованных клиентов в месяц × 12 × 15% клиентов с завершённой сделкой × 1,3 сделки × 4 млн среднего чека = </w:t>
      </w:r>
      <w:r>
        <w:rPr>
          <w:rFonts w:ascii="Arial" w:hAnsi="Arial" w:eastAsia="Arial"/>
          <w:b/>
          <w:i w:val="0"/>
          <w:color w:val="000000"/>
          <w:sz w:val="22"/>
        </w:rPr>
        <w:t>936 млн сум связанного оборота в год</w:t>
      </w:r>
      <w:r>
        <w:rPr>
          <w:rFonts w:ascii="Arial" w:hAnsi="Arial" w:eastAsia="Arial"/>
          <w:b w:val="0"/>
          <w:i w:val="0"/>
          <w:color w:val="000000"/>
          <w:sz w:val="22"/>
        </w:rPr>
        <w:t>.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 xml:space="preserve">При гипотетической комиссии 5% и собираемости 70% выручка составит </w:t>
      </w:r>
      <w:r>
        <w:rPr>
          <w:rFonts w:ascii="Arial" w:hAnsi="Arial" w:eastAsia="Arial"/>
          <w:b/>
          <w:i w:val="0"/>
          <w:color w:val="000000"/>
          <w:sz w:val="22"/>
        </w:rPr>
        <w:t>32,76 млн сум в год</w:t>
      </w:r>
      <w:r>
        <w:rPr>
          <w:rFonts w:ascii="Arial" w:hAnsi="Arial" w:eastAsia="Arial"/>
          <w:b w:val="0"/>
          <w:i w:val="0"/>
          <w:color w:val="000000"/>
          <w:sz w:val="22"/>
        </w:rPr>
        <w:t>, до расходов и налогов. 100 клиентов в месяц — постоянный приток, а не сто зарегистрированных один раз. Прямой чат сам по себе не подтверждает завершение сделки и не обеспечивает сбор комиссии.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 xml:space="preserve">Альтернативный сценарий подписки: 30 активных авторов × 20% платящих × 150 тыс. сум в месяц × 12 = </w:t>
      </w:r>
      <w:r>
        <w:rPr>
          <w:rFonts w:ascii="Arial" w:hAnsi="Arial" w:eastAsia="Arial"/>
          <w:b/>
          <w:i w:val="0"/>
          <w:color w:val="000000"/>
          <w:sz w:val="22"/>
        </w:rPr>
        <w:t>10,8 млн сум в год</w:t>
      </w:r>
      <w:r>
        <w:rPr>
          <w:rFonts w:ascii="Arial" w:hAnsi="Arial" w:eastAsia="Arial"/>
          <w:b w:val="0"/>
          <w:i w:val="0"/>
          <w:color w:val="000000"/>
          <w:sz w:val="22"/>
        </w:rPr>
        <w:t>. Подписка и комиссия пока лишь варианты проверки; их нельзя автоматически сложить в прогноз.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Считаем отдельно затраты на привлечение ищущего и автора, подключение и обновление предложения, поддержку, споры, хранение медиа и платежи. При комиссии из примера на одну подтверждённую сделку приходится 140 тыс. сум собранной выручки. Допустимая стоимость привлечения должна быть ниже вклада клиента после переменных затрат с учётом числа его сделок.</w:t>
      </w:r>
    </w:p>
    <w:p>
      <w:pPr>
        <w:pStyle w:val="Heading1"/>
      </w:pPr>
      <w:r>
        <w:t>Альтернативы и наблюдения о доверии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TOYPOY показывает поиск, свадебные категории и калькулятор; размещение заявлено бесплатным, продвижение — договорным. Это создаёт прямое сравнение для будущей платы Marosim. [S11]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Toybook сочетает каталог, кабинет пары и приглашения, при этом на странице авторов прямо предлагает вступить в первый набор. Видимые функции и заявления о проверке не доказывают масштаб действующих сделок. [S12]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У Pix Quest на странице тимбилдинга сохраняются тарифы и одновременно размещено сообщение о закрытии ташкентской локации. Это конкретный пример того, почему наличие карточки и цены не подтверждает возможность получить услугу сейчас. [S13]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В интервью спрашиваем о последнем реальном поиске до показа Marosim: человек сам называет привычные каналы, причину обращения и трудность. Проверяем, какую часть процесса он готов перенести и что должно произойти, чтобы он вернулся.</w:t>
      </w:r>
    </w:p>
    <w:p>
      <w:pPr>
        <w:pStyle w:val="Heading1"/>
        <w:pageBreakBefore/>
      </w:pPr>
      <w:r>
        <w:t>JTBD ищущих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JTBD — задача, ради которой человек нанимает сервис. Ниже концептуальные гипотезы, которые нужно уточнить интервью.</w:t>
      </w:r>
    </w:p>
    <w:p>
      <w:pPr>
        <w:pStyle w:val="ListBullet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Найти подходящее.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Когда известны событие, город, дата и рамка бюджета, хочу быстро найти услуги, товары или аренду, которые подходят моим ограничениям, чтобы перейти к реальному выбору. Сценарий: найти кейтеринг на свадьбу для 120 гостей.</w:t>
      </w:r>
    </w:p>
    <w:p>
      <w:pPr>
        <w:pStyle w:val="ListBullet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Сравнить и согласовать.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Когда вариантов несколько, хочу понять полный состав, цену и основания доверия, сохранить и показать их семье, чтобы принять решение без повторного сбора информации. Сценарий: сравнить два пакета с разными единицами цены.</w:t>
      </w:r>
    </w:p>
    <w:p>
      <w:pPr>
        <w:pStyle w:val="ListBullet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Получить конкретный ответ.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Когда вариант подходит, хочу передать контекст автору и получить понятный расчёт, чтобы знать следующий шаг и не переписывать одно и то же. Сценарий: дата, число гостей, доставка и итоговая цена.</w:t>
      </w:r>
    </w:p>
    <w:p>
      <w:pPr>
        <w:pStyle w:val="ListBullet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Сохранить контроль при изменениях.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Когда меняются гости, бюджет или пожелания, хочу видеть новую цену и историю изменений, чтобы избежать неожиданной доплаты и понимать, что уже согласовано. Сценарий: пересчитать 120 гостей на 130.</w:t>
      </w:r>
    </w:p>
    <w:p>
      <w:pPr>
        <w:pStyle w:val="Heading1"/>
      </w:pPr>
      <w:r>
        <w:t>JTBD авторов предложений</w:t>
      </w:r>
    </w:p>
    <w:p>
      <w:pPr>
        <w:pStyle w:val="ListBullet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Понятно представить предложение.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Когда начинаю привлекать клиентов или меняю прайс, хочу быстро показать актуальные условия и примеры работы, чтобы подходящий человек понял, что именно получит. Сценарий: загрузить услуги, проверить карточку глазами клиента.</w:t>
      </w:r>
    </w:p>
    <w:p>
      <w:pPr>
        <w:pStyle w:val="ListBullet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Получать подходящие обращения.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Когда есть свободные даты или товар, хочу получать запросы с подходящими городом, датой, объёмом и бюджетом, чтобы заполнять загрузку и меньше отвечать впустую. Сценарий: отличить подходящий банкет от запроса на занятую дату.</w:t>
      </w:r>
    </w:p>
    <w:p>
      <w:pPr>
        <w:pStyle w:val="ListBullet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Быстро согласовать состав и цену.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Когда клиент пишет или меняет запрос, хочу уточнить смету и ответить в одном месте, чтобы уменьшить ручную переписку и прийти к договорённости. Сценарий: обновить гостей, тариф и доставку.</w:t>
      </w:r>
    </w:p>
    <w:p>
      <w:pPr>
        <w:pStyle w:val="ListBullet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Управлять загрузкой и обещаниями.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Когда приходят параллельные обращения, хочу видеть текущие условия и статус обсуждения, чтобы не обещать один ресурс двум клиентам и не потерять выгодный запрос. Сценарий: проверить доступность до явного подтверждения.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Планировщик рассматривается как контекст работы внутри каждой стороны. Отдельную третью аудиторию пока не выделяем. Один и тот же человек может выступать и ищущим, и автором; в одном интервью выбираем одну роль и один реальный эпизод.</w:t>
      </w:r>
    </w:p>
    <w:p>
      <w:pPr>
        <w:pStyle w:val="Heading1"/>
        <w:pageBreakBefore/>
      </w:pPr>
      <w:r>
        <w:t>Как проверить гипотезы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Вопросник версии 1.1 содержит для каждой стороны отдельную таблицу из трёх важных характеристик и одного защитного ограничения. У каждой характеристики есть описание, направление шкалы и открытый вопрос, позволяющий её заменить. Поиск и расчёт проверяются одним сквозным заданием на человека.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Первый коридорный цикл: 5 ищущих и 5 авторов, по 12–15 минут. Ищущие имеют текущую задачу или опыт подготовки за последние 12 месяцев; авторы действительно продают, оказывают услуги или сдают в аренду. Это цикл для выявления трудностей интерфейса и уточнения формулировок, а не выборка для денежной оценки страны.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Для денежных параметров после него нужны как минимум 10 разборов реальных семейных смет и 10 разборов продаж авторов с разными категориями и географией. Такая небольшая выборка уточнит диапазоны, но не даст репрезентативного среднего по стране. Для оценки по регионам сначала задаём отдельные группы и достаточную выборку для каждой.</w:t>
      </w:r>
    </w:p>
    <w:p>
      <w:pPr>
        <w:pStyle w:val="Heading2"/>
      </w:pPr>
      <w:r>
        <w:t>Что записать о деньгах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У ищущего: город проведения, число гостей, полный состав покупок, окончательные суммы, кто платил, что было включено в пакет и от каких покупок отказались. У автора: единица цены, итоговый чек последних заказов, сезонность, число обращений и сделок, доля свободных дат и расходы на привлечение.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Сопоставляем суммы двух сторон без двойного счёта одной сделки. По согласованию достаточно обезличенной сметы или пересказа последних случаев; личные документы и чужие телефоны для расчёта не нужны.</w:t>
      </w:r>
    </w:p>
    <w:p>
      <w:pPr>
        <w:pStyle w:val="Heading2"/>
      </w:pPr>
      <w:r>
        <w:t>Правила решения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Сначала фиксируем самостоятельное поведение; подсказки и объяснения идут отдельным наблюдением. Если защитное ограничение нарушено хотя бы в одном наблюдении, разбираем причину до использования этой формулировки в следующем тесте. Остальные характеристики ранжируем по последствиям для реальной задачи, а не по похвале интерфейсу.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Для небольшого запуска проверяем три результата: человек нашёл подходящую карточку, автор дал ответ по существу, обе стороны одинаково понимают условия и статус договорённости. Поток целевых обращений, надёжность исполнения и выручку подтверждаем уже на реальных взаимодействиях.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Текущий денежный расчёт следует пересматривать прежде всего по гостям, полному банкетному чеку, доле платных событий и цене привлечения. Именно эти параметры решат, какой масштаб бизнеса практически достижим.</w:t>
      </w:r>
    </w:p>
    <w:p>
      <w:pPr>
        <w:pStyle w:val="Heading1"/>
        <w:pageBreakBefore/>
      </w:pPr>
      <w:r>
        <w:t>Источники и границы данных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Все веб-страницы ниже просмотрены 11 сентября 2026 года. Дата фактов указана отдельно. Публичная цена означает предложение продавца или сценарий автора материала; она не удостоверяет завершённую сделку.</w:t>
      </w:r>
    </w:p>
    <w:p>
      <w:pPr>
        <w:pStyle w:val="ListBullet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S1.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</w:t>
      </w:r>
      <w:hyperlink r:id="rId10">
        <w:r>
          <w:rPr>
            <w:rFonts w:ascii="Arial" w:hAnsi="Arial" w:eastAsia="Arial"/>
            <w:sz w:val="21"/>
            <w:color w:val="5E5E5E"/>
            <w:u w:val="single"/>
          </w:rPr>
          <w:t>SIAT — число браков по кварталам</w:t>
        </w:r>
      </w:hyperlink>
      <w:r>
        <w:rPr>
          <w:rFonts w:ascii="Arial" w:hAnsi="Arial" w:eastAsia="Arial"/>
          <w:b w:val="0"/>
          <w:i w:val="0"/>
          <w:color w:val="000000"/>
          <w:sz w:val="22"/>
        </w:rPr>
        <w:t>. Обновление 24 июля 2026 года; накопительные значения, полный 2025 год и первое полугодие 2026 года. Для модели использована эта таблица, а не округлённый новостной текст.</w:t>
      </w:r>
    </w:p>
    <w:p>
      <w:pPr>
        <w:pStyle w:val="ListBullet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S2.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</w:t>
      </w:r>
      <w:hyperlink r:id="rId11">
        <w:r>
          <w:rPr>
            <w:rFonts w:ascii="Arial" w:hAnsi="Arial" w:eastAsia="Arial"/>
            <w:sz w:val="21"/>
            <w:color w:val="5E5E5E"/>
            <w:u w:val="single"/>
          </w:rPr>
          <w:t>Seoul Hall — меню и аренда</w:t>
        </w:r>
      </w:hyperlink>
      <w:r>
        <w:rPr>
          <w:rFonts w:ascii="Arial" w:hAnsi="Arial" w:eastAsia="Arial"/>
          <w:b w:val="0"/>
          <w:i w:val="0"/>
          <w:color w:val="000000"/>
          <w:sz w:val="22"/>
        </w:rPr>
        <w:t>. Собственная страница площадки; пример цены Ташкента.</w:t>
      </w:r>
    </w:p>
    <w:p>
      <w:pPr>
        <w:pStyle w:val="ListBullet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S3.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</w:t>
      </w:r>
      <w:hyperlink r:id="rId12">
        <w:r>
          <w:rPr>
            <w:rFonts w:ascii="Arial" w:hAnsi="Arial" w:eastAsia="Arial"/>
            <w:sz w:val="21"/>
            <w:color w:val="5E5E5E"/>
            <w:u w:val="single"/>
          </w:rPr>
          <w:t>Afisha — стоимость свадьбы в Ташкенте</w:t>
        </w:r>
      </w:hyperlink>
      <w:r>
        <w:rPr>
          <w:rFonts w:ascii="Arial" w:hAnsi="Arial" w:eastAsia="Arial"/>
          <w:b w:val="0"/>
          <w:i w:val="0"/>
          <w:color w:val="000000"/>
          <w:sz w:val="22"/>
        </w:rPr>
        <w:t>. 24 августа 2026 года; материал с рекламной маркировкой, редакционные сметы.</w:t>
      </w:r>
    </w:p>
    <w:p>
      <w:pPr>
        <w:pStyle w:val="ListBullet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S4.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</w:t>
      </w:r>
      <w:hyperlink r:id="rId13">
        <w:r>
          <w:rPr>
            <w:rFonts w:ascii="Arial" w:hAnsi="Arial" w:eastAsia="Arial"/>
            <w:sz w:val="21"/>
            <w:color w:val="5E5E5E"/>
            <w:u w:val="single"/>
          </w:rPr>
          <w:t>SERCAT — EventHall Decor</w:t>
        </w:r>
      </w:hyperlink>
      <w:r>
        <w:rPr>
          <w:rFonts w:ascii="Arial" w:hAnsi="Arial" w:eastAsia="Arial"/>
          <w:b w:val="0"/>
          <w:i w:val="0"/>
          <w:color w:val="000000"/>
          <w:sz w:val="22"/>
        </w:rPr>
        <w:t>. Цены в публичной карточке; актуальность исполнителя не подтверждена.</w:t>
      </w:r>
    </w:p>
    <w:p>
      <w:pPr>
        <w:pStyle w:val="ListBullet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S5.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</w:t>
      </w:r>
      <w:hyperlink r:id="rId14">
        <w:r>
          <w:rPr>
            <w:rFonts w:ascii="Arial" w:hAnsi="Arial" w:eastAsia="Arial"/>
            <w:sz w:val="21"/>
            <w:color w:val="5E5E5E"/>
            <w:u w:val="single"/>
          </w:rPr>
          <w:t>getspace — организация мероприятий</w:t>
        </w:r>
      </w:hyperlink>
      <w:r>
        <w:rPr>
          <w:rFonts w:ascii="Arial" w:hAnsi="Arial" w:eastAsia="Arial"/>
          <w:b w:val="0"/>
          <w:i w:val="0"/>
          <w:color w:val="000000"/>
          <w:sz w:val="22"/>
        </w:rPr>
        <w:t>. Опубликованные стартовые тарифы.</w:t>
      </w:r>
    </w:p>
    <w:p>
      <w:pPr>
        <w:pStyle w:val="ListBullet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S6.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</w:t>
      </w:r>
      <w:hyperlink r:id="rId15">
        <w:r>
          <w:rPr>
            <w:rFonts w:ascii="Arial" w:hAnsi="Arial" w:eastAsia="Arial"/>
            <w:sz w:val="21"/>
            <w:color w:val="5E5E5E"/>
            <w:u w:val="single"/>
          </w:rPr>
          <w:t>Prom.uz — оборудование для видеоконференции</w:t>
        </w:r>
      </w:hyperlink>
      <w:r>
        <w:rPr>
          <w:rFonts w:ascii="Arial" w:hAnsi="Arial" w:eastAsia="Arial"/>
          <w:b w:val="0"/>
          <w:i w:val="0"/>
          <w:color w:val="000000"/>
          <w:sz w:val="22"/>
        </w:rPr>
        <w:t>. Предложение продавца Agile official.</w:t>
      </w:r>
    </w:p>
    <w:p>
      <w:pPr>
        <w:pStyle w:val="ListBullet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S7.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</w:t>
      </w:r>
      <w:hyperlink r:id="rId16">
        <w:r>
          <w:rPr>
            <w:rFonts w:ascii="Arial" w:hAnsi="Arial" w:eastAsia="Arial"/>
            <w:sz w:val="21"/>
            <w:color w:val="5E5E5E"/>
            <w:u w:val="single"/>
          </w:rPr>
          <w:t>Нацкомстат — предприятия на 1 января 2026 года</w:t>
        </w:r>
      </w:hyperlink>
      <w:r>
        <w:rPr>
          <w:rFonts w:ascii="Arial" w:hAnsi="Arial" w:eastAsia="Arial"/>
          <w:b w:val="0"/>
          <w:i w:val="0"/>
          <w:color w:val="000000"/>
          <w:sz w:val="22"/>
        </w:rPr>
        <w:t>. 9 января 2026 года; 474 899 действующих организаций, таблицы на страницах 1–2.</w:t>
      </w:r>
    </w:p>
    <w:p>
      <w:pPr>
        <w:pStyle w:val="ListBullet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S8.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</w:t>
      </w:r>
      <w:hyperlink r:id="rId17">
        <w:r>
          <w:rPr>
            <w:rFonts w:ascii="Arial" w:hAnsi="Arial" w:eastAsia="Arial"/>
            <w:sz w:val="21"/>
            <w:color w:val="5E5E5E"/>
            <w:u w:val="single"/>
          </w:rPr>
          <w:t>ENT.TER — тарифы и командные игры</w:t>
        </w:r>
      </w:hyperlink>
      <w:r>
        <w:rPr>
          <w:rFonts w:ascii="Arial" w:hAnsi="Arial" w:eastAsia="Arial"/>
          <w:b w:val="0"/>
          <w:i w:val="0"/>
          <w:color w:val="000000"/>
          <w:sz w:val="22"/>
        </w:rPr>
        <w:t>. Собственная страница оператора; развлекательная услуга.</w:t>
      </w:r>
    </w:p>
    <w:p>
      <w:pPr>
        <w:pStyle w:val="ListBullet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S9.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</w:t>
      </w:r>
      <w:hyperlink r:id="rId18">
        <w:r>
          <w:rPr>
            <w:rFonts w:ascii="Arial" w:hAnsi="Arial" w:eastAsia="Arial"/>
            <w:sz w:val="21"/>
            <w:color w:val="5E5E5E"/>
            <w:u w:val="single"/>
          </w:rPr>
          <w:t>Joinme — цифровые приглашения</w:t>
        </w:r>
      </w:hyperlink>
      <w:r>
        <w:rPr>
          <w:rFonts w:ascii="Arial" w:hAnsi="Arial" w:eastAsia="Arial"/>
          <w:b w:val="0"/>
          <w:i w:val="0"/>
          <w:color w:val="000000"/>
          <w:sz w:val="22"/>
        </w:rPr>
        <w:t>. Цена за одно событие.</w:t>
      </w:r>
    </w:p>
    <w:p>
      <w:pPr>
        <w:pStyle w:val="ListBullet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S10.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</w:t>
      </w:r>
      <w:hyperlink r:id="rId19">
        <w:r>
          <w:rPr>
            <w:rFonts w:ascii="Arial" w:hAnsi="Arial" w:eastAsia="Arial"/>
            <w:sz w:val="21"/>
            <w:color w:val="5E5E5E"/>
            <w:u w:val="single"/>
          </w:rPr>
          <w:t>DataReportal — Digital 2026 Uzbekistan</w:t>
        </w:r>
      </w:hyperlink>
      <w:r>
        <w:rPr>
          <w:rFonts w:ascii="Arial" w:hAnsi="Arial" w:eastAsia="Arial"/>
          <w:b w:val="0"/>
          <w:i w:val="0"/>
          <w:color w:val="000000"/>
          <w:sz w:val="22"/>
        </w:rPr>
        <w:t>. Данные о подключении на конец 2025 года.</w:t>
      </w:r>
    </w:p>
    <w:p>
      <w:pPr>
        <w:pStyle w:val="ListBullet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S11.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</w:t>
      </w:r>
      <w:hyperlink r:id="rId20">
        <w:r>
          <w:rPr>
            <w:rFonts w:ascii="Arial" w:hAnsi="Arial" w:eastAsia="Arial"/>
            <w:sz w:val="21"/>
            <w:color w:val="5E5E5E"/>
            <w:u w:val="single"/>
          </w:rPr>
          <w:t>TOYPOY — категории и условия размещения</w:t>
        </w:r>
      </w:hyperlink>
      <w:r>
        <w:rPr>
          <w:rFonts w:ascii="Arial" w:hAnsi="Arial" w:eastAsia="Arial"/>
          <w:b w:val="0"/>
          <w:i w:val="0"/>
          <w:color w:val="000000"/>
          <w:sz w:val="22"/>
        </w:rPr>
        <w:t>. Наблюдение доступного интерфейса.</w:t>
      </w:r>
    </w:p>
    <w:p>
      <w:pPr>
        <w:pStyle w:val="ListBullet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S12.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</w:t>
      </w:r>
      <w:hyperlink r:id="rId21">
        <w:r>
          <w:rPr>
            <w:rFonts w:ascii="Arial" w:hAnsi="Arial" w:eastAsia="Arial"/>
            <w:sz w:val="21"/>
            <w:color w:val="5E5E5E"/>
            <w:u w:val="single"/>
          </w:rPr>
          <w:t>Toybook — каталог и набор специалистов</w:t>
        </w:r>
      </w:hyperlink>
      <w:r>
        <w:rPr>
          <w:rFonts w:ascii="Arial" w:hAnsi="Arial" w:eastAsia="Arial"/>
          <w:b w:val="0"/>
          <w:i w:val="0"/>
          <w:color w:val="000000"/>
          <w:sz w:val="22"/>
        </w:rPr>
        <w:t>. Наблюдение доступного интерфейса.</w:t>
      </w:r>
    </w:p>
    <w:p>
      <w:pPr>
        <w:pStyle w:val="ListBullet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S13.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</w:t>
      </w:r>
      <w:hyperlink r:id="rId22">
        <w:r>
          <w:rPr>
            <w:rFonts w:ascii="Arial" w:hAnsi="Arial" w:eastAsia="Arial"/>
            <w:sz w:val="21"/>
            <w:color w:val="5E5E5E"/>
            <w:u w:val="single"/>
          </w:rPr>
          <w:t>Pix Quest — тимбилдинг и сообщение о закрытии</w:t>
        </w:r>
      </w:hyperlink>
      <w:r>
        <w:rPr>
          <w:rFonts w:ascii="Arial" w:hAnsi="Arial" w:eastAsia="Arial"/>
          <w:b w:val="0"/>
          <w:i w:val="0"/>
          <w:color w:val="000000"/>
          <w:sz w:val="22"/>
        </w:rPr>
        <w:t>. Иллюстрация необходимости проверять текущую доступность.</w:t>
      </w:r>
    </w:p>
    <w:p>
      <w:r>
        <w:rPr>
          <w:rFonts w:ascii="Arial" w:hAnsi="Arial" w:eastAsia="Arial"/>
          <w:b/>
          <w:i w:val="0"/>
          <w:color w:val="000000"/>
          <w:sz w:val="22"/>
        </w:rPr>
        <w:t>A — допущение модели.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Условные чеки, доли покупки, число гостей, географические коэффициенты, комиссия, конверсии и собираемость. Они доступны для замены в JSON-модели и не приписываются внешним источникам.</w:t>
      </w:r>
    </w:p>
    <w:p>
      <w:r>
        <w:rPr>
          <w:rFonts w:ascii="Arial" w:hAnsi="Arial" w:eastAsia="Arial"/>
          <w:b/>
          <w:i w:val="0"/>
          <w:color w:val="000000"/>
          <w:sz w:val="22"/>
        </w:rPr>
        <w:t>Данные проекта.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Категории взяты из lib/demo-data.ts, карточки — из lib/catalog-seed.ts. Зафиксировано 100 SKU в 19 категориях. Исходная методика наполнения: docs/research/uzbekistan-seed-catalog.md. Карточки и профили этого среза — seed-данные продукта, не выборка реальных участников рынка.</w:t>
      </w:r>
    </w:p>
    <w:sectPr w:rsidR="00FC693F" w:rsidRPr="0006063C" w:rsidSect="00034616">
      <w:footerReference w:type="default" r:id="rId9"/>
      <w:pgSz w:w="12240" w:h="15840"/>
      <w:pgMar w:top="1080" w:right="1440" w:bottom="1080" w:left="144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666666"/>
        <w:sz w:val="16"/>
      </w:rPr>
      <w:t xml:space="preserve">Marosim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 w:eastAsia="Arial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earchQuestion">
    <w:name w:val="Research Question"/>
    <w:basedOn w:val="Normal"/>
    <w:pPr>
      <w:keepNext/>
      <w:spacing w:before="160" w:after="60"/>
    </w:pPr>
    <w:rPr>
      <w:rFonts w:ascii="Arial" w:hAnsi="Arial" w:eastAsia="Arial"/>
      <w:b/>
      <w:color w:val="111111"/>
      <w:sz w:val="22"/>
    </w:rPr>
  </w:style>
  <w:style w:type="paragraph" w:customStyle="1" w:styleId="ResearchBullet">
    <w:name w:val="Research Bullet"/>
    <w:basedOn w:val="Normal"/>
    <w:pPr>
      <w:spacing w:after="60"/>
    </w:pPr>
    <w:rPr>
      <w:rFonts w:ascii="Arial" w:hAnsi="Arial" w:eastAsia="Arial"/>
      <w:color w:val="111111"/>
      <w:sz w:val="21"/>
    </w:rPr>
  </w:style>
  <w:style w:type="paragraph" w:customStyle="1" w:styleId="ResearchNumber">
    <w:name w:val="Research Number"/>
    <w:basedOn w:val="Normal"/>
    <w:pPr>
      <w:spacing w:after="60"/>
    </w:pPr>
    <w:rPr>
      <w:rFonts w:ascii="Arial" w:hAnsi="Arial" w:eastAsia="Arial"/>
      <w:color w:val="111111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iat.stat.uz/data/3877/?lang=en" TargetMode="External"/><Relationship Id="rId11" Type="http://schemas.openxmlformats.org/officeDocument/2006/relationships/hyperlink" Target="https://seoulhall.uz/" TargetMode="External"/><Relationship Id="rId12" Type="http://schemas.openxmlformats.org/officeDocument/2006/relationships/hyperlink" Target="https://www.afisha.uz/ru/weddings/2026/08/24/wedding-budget" TargetMode="External"/><Relationship Id="rId13" Type="http://schemas.openxmlformats.org/officeDocument/2006/relationships/hyperlink" Target="https://sercat.uz/book/14" TargetMode="External"/><Relationship Id="rId14" Type="http://schemas.openxmlformats.org/officeDocument/2006/relationships/hyperlink" Target="https://www.getspace.uz/ru/services" TargetMode="External"/><Relationship Id="rId15" Type="http://schemas.openxmlformats.org/officeDocument/2006/relationships/hyperlink" Target="https://www.prom.uz/ads/arenda-oborudovaniya-dlya-konferencii-videokonferenciya/" TargetMode="External"/><Relationship Id="rId16" Type="http://schemas.openxmlformats.org/officeDocument/2006/relationships/hyperlink" Target="https://stat.uz/img/news/registr-press-reliz-01_01_26-rus-_p43674.pdf" TargetMode="External"/><Relationship Id="rId17" Type="http://schemas.openxmlformats.org/officeDocument/2006/relationships/hyperlink" Target="https://entter.uz/" TargetMode="External"/><Relationship Id="rId18" Type="http://schemas.openxmlformats.org/officeDocument/2006/relationships/hyperlink" Target="https://joinme.uz/" TargetMode="External"/><Relationship Id="rId19" Type="http://schemas.openxmlformats.org/officeDocument/2006/relationships/hyperlink" Target="https://datareportal.com/reports/digital-2026-uzbekistan" TargetMode="External"/><Relationship Id="rId20" Type="http://schemas.openxmlformats.org/officeDocument/2006/relationships/hyperlink" Target="https://toypoy.uz/ru/" TargetMode="External"/><Relationship Id="rId21" Type="http://schemas.openxmlformats.org/officeDocument/2006/relationships/hyperlink" Target="https://toybook.uz/" TargetMode="External"/><Relationship Id="rId22" Type="http://schemas.openxmlformats.org/officeDocument/2006/relationships/hyperlink" Target="https://pixquest.uz/teambuil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Рынок Marosim и задачи двух сторон</dc:title>
  <dc:subject>Рынок, JTBD и проверка интерфейса Marosim</dc:subject>
  <dc:creator>Marosim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